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right="0"/>
        <w:jc w:val="both"/>
        <w:rPr>
          <w:rFonts w:hint="eastAsia" w:ascii="黑体" w:hAnsi="黑体" w:eastAsia="黑体" w:cs="黑体"/>
          <w:b w:val="0"/>
          <w:bCs/>
          <w:i w:val="0"/>
          <w:iCs w:val="0"/>
          <w:caps w:val="0"/>
          <w:color w:val="000000"/>
          <w:spacing w:val="0"/>
          <w:kern w:val="0"/>
          <w:sz w:val="32"/>
          <w:szCs w:val="32"/>
          <w:lang w:val="en-US" w:eastAsia="zh-CN" w:bidi="ar"/>
        </w:rPr>
      </w:pPr>
      <w:r>
        <w:rPr>
          <w:rFonts w:hint="eastAsia" w:ascii="黑体" w:hAnsi="黑体" w:eastAsia="黑体" w:cs="黑体"/>
          <w:b w:val="0"/>
          <w:bCs/>
          <w:i w:val="0"/>
          <w:iCs w:val="0"/>
          <w:caps w:val="0"/>
          <w:color w:val="000000"/>
          <w:spacing w:val="0"/>
          <w:kern w:val="0"/>
          <w:sz w:val="32"/>
          <w:szCs w:val="32"/>
          <w:lang w:val="en-US" w:eastAsia="zh-CN" w:bidi="ar"/>
        </w:rPr>
        <w:t>附件2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right="0"/>
        <w:jc w:val="center"/>
        <w:textAlignment w:val="auto"/>
        <w:rPr>
          <w:rFonts w:hint="eastAsia" w:ascii="方正小标宋_GBK" w:hAnsi="方正小标宋_GBK" w:eastAsia="方正小标宋_GBK" w:cs="方正小标宋_GBK"/>
          <w:b w:val="0"/>
          <w:bCs/>
          <w:i w:val="0"/>
          <w:iCs w:val="0"/>
          <w:caps w:val="0"/>
          <w:color w:val="000000"/>
          <w:spacing w:val="0"/>
          <w:kern w:val="0"/>
          <w:sz w:val="44"/>
          <w:szCs w:val="44"/>
          <w:lang w:val="en-US" w:eastAsia="zh-CN" w:bidi="ar"/>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bookmarkStart w:id="0" w:name="_GoBack"/>
      <w:r>
        <w:rPr>
          <w:rFonts w:hint="eastAsia" w:ascii="方正小标宋_GBK" w:hAnsi="方正小标宋_GBK" w:eastAsia="方正小标宋_GBK" w:cs="方正小标宋_GBK"/>
          <w:b w:val="0"/>
          <w:bCs/>
          <w:i w:val="0"/>
          <w:iCs w:val="0"/>
          <w:caps w:val="0"/>
          <w:color w:val="000000"/>
          <w:spacing w:val="0"/>
          <w:kern w:val="0"/>
          <w:sz w:val="44"/>
          <w:szCs w:val="44"/>
          <w:lang w:val="en-US" w:eastAsia="zh-CN" w:bidi="ar"/>
        </w:rPr>
        <w:t>关于《自治区文化和旅游厅关于调整娱乐场所和互联网上网服务营业场所审批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i w:val="0"/>
          <w:iCs w:val="0"/>
          <w:caps w:val="0"/>
          <w:color w:val="000000"/>
          <w:spacing w:val="0"/>
          <w:kern w:val="0"/>
          <w:sz w:val="44"/>
          <w:szCs w:val="44"/>
        </w:rPr>
      </w:pPr>
      <w:r>
        <w:rPr>
          <w:rFonts w:hint="eastAsia" w:ascii="方正小标宋_GBK" w:hAnsi="方正小标宋_GBK" w:eastAsia="方正小标宋_GBK" w:cs="方正小标宋_GBK"/>
          <w:b w:val="0"/>
          <w:bCs/>
          <w:i w:val="0"/>
          <w:iCs w:val="0"/>
          <w:caps w:val="0"/>
          <w:color w:val="000000"/>
          <w:spacing w:val="0"/>
          <w:kern w:val="0"/>
          <w:sz w:val="44"/>
          <w:szCs w:val="44"/>
          <w:lang w:val="en-US" w:eastAsia="zh-CN" w:bidi="ar"/>
        </w:rPr>
        <w:t>有关事项的通知》的起草说明</w:t>
      </w:r>
    </w:p>
    <w:bookmarkEnd w:id="0"/>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right="0"/>
        <w:jc w:val="both"/>
        <w:textAlignment w:val="auto"/>
        <w:rPr>
          <w:rFonts w:hint="eastAsia" w:ascii="仿宋_GB2312" w:eastAsia="仿宋_GB2312" w:cs="仿宋_GB2312"/>
          <w:i w:val="0"/>
          <w:iCs w:val="0"/>
          <w:caps w:val="0"/>
          <w:color w:val="000000"/>
          <w:spacing w:val="0"/>
          <w:kern w:val="0"/>
          <w:sz w:val="44"/>
          <w:szCs w:val="44"/>
        </w:rPr>
      </w:pPr>
      <w:r>
        <w:rPr>
          <w:rFonts w:hint="eastAsia" w:ascii="仿宋_GB2312" w:hAnsi="Calibri" w:eastAsia="仿宋_GB2312" w:cs="仿宋_GB2312"/>
          <w:i w:val="0"/>
          <w:iCs w:val="0"/>
          <w:caps w:val="0"/>
          <w:color w:val="000000"/>
          <w:spacing w:val="0"/>
          <w:kern w:val="0"/>
          <w:sz w:val="44"/>
          <w:szCs w:val="44"/>
          <w:lang w:val="en-US" w:eastAsia="zh-CN" w:bidi="ar"/>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Calibri" w:eastAsia="仿宋_GB2312" w:cs="仿宋_GB2312"/>
          <w:i w:val="0"/>
          <w:iCs w:val="0"/>
          <w:caps w:val="0"/>
          <w:color w:val="000000"/>
          <w:spacing w:val="0"/>
          <w:kern w:val="0"/>
          <w:sz w:val="32"/>
          <w:szCs w:val="32"/>
          <w:lang w:val="en-US" w:eastAsia="zh-CN" w:bidi="ar"/>
        </w:rPr>
      </w:pPr>
      <w:r>
        <w:rPr>
          <w:rFonts w:hint="eastAsia" w:ascii="仿宋_GB2312" w:hAnsi="Calibri" w:eastAsia="仿宋_GB2312" w:cs="仿宋_GB2312"/>
          <w:i w:val="0"/>
          <w:iCs w:val="0"/>
          <w:caps w:val="0"/>
          <w:color w:val="000000"/>
          <w:spacing w:val="0"/>
          <w:kern w:val="0"/>
          <w:sz w:val="32"/>
          <w:szCs w:val="32"/>
          <w:lang w:val="en-US" w:eastAsia="zh-CN" w:bidi="ar"/>
        </w:rPr>
        <w:t>为贯彻实施《中华人民共和国未成年人保护法》，落实国务院“证照分离”改革要求，按照2022年新修订《娱乐场所管理办法》第六条第二款规定及《文化和旅游部关于调整娱乐场所和互联网上网服务营业场所审批有关事项的通知》（文旅市场发〔2021〕57号）要求，自治区文化和旅游厅研究制定了《自治区文化和旅游厅关于调整娱乐场所和互联网上网服务营业场所审批有关事项的通知（征求意见稿）》（以下简称“通知”），现将起草有关情况说明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eastAsia" w:ascii="黑体" w:hAnsi="黑体" w:eastAsia="黑体" w:cs="黑体"/>
          <w:i w:val="0"/>
          <w:iCs w:val="0"/>
          <w:caps w:val="0"/>
          <w:color w:val="000000"/>
          <w:spacing w:val="0"/>
          <w:kern w:val="0"/>
          <w:sz w:val="32"/>
          <w:szCs w:val="32"/>
        </w:rPr>
      </w:pPr>
      <w:r>
        <w:rPr>
          <w:rFonts w:hint="eastAsia" w:ascii="黑体" w:hAnsi="黑体" w:eastAsia="黑体" w:cs="黑体"/>
          <w:i w:val="0"/>
          <w:iCs w:val="0"/>
          <w:caps w:val="0"/>
          <w:color w:val="000000"/>
          <w:spacing w:val="0"/>
          <w:kern w:val="0"/>
          <w:sz w:val="32"/>
          <w:szCs w:val="32"/>
          <w:lang w:val="en-US" w:eastAsia="zh-CN" w:bidi="ar"/>
        </w:rPr>
        <w:t>一、制定的必要性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eastAsia="仿宋_GB2312" w:cs="仿宋_GB2312"/>
          <w:i w:val="0"/>
          <w:iCs w:val="0"/>
          <w:caps w:val="0"/>
          <w:color w:val="000000"/>
          <w:spacing w:val="0"/>
          <w:kern w:val="0"/>
          <w:sz w:val="32"/>
          <w:szCs w:val="32"/>
        </w:rPr>
      </w:pPr>
      <w:r>
        <w:rPr>
          <w:rFonts w:hint="eastAsia" w:ascii="仿宋_GB2312" w:hAnsi="Calibri" w:eastAsia="仿宋_GB2312" w:cs="仿宋_GB2312"/>
          <w:i w:val="0"/>
          <w:iCs w:val="0"/>
          <w:caps w:val="0"/>
          <w:color w:val="000000"/>
          <w:spacing w:val="0"/>
          <w:kern w:val="0"/>
          <w:sz w:val="32"/>
          <w:szCs w:val="32"/>
          <w:lang w:val="en-US" w:eastAsia="zh-CN" w:bidi="ar"/>
        </w:rPr>
        <w:t>近年来，随着部分法律法规的颁布和修订以及国务院“证照分离”改革推进，文化和旅游部对娱乐场所和互联网上网服务营业场所的审批进行了调整，我区需要对娱乐场所和互联网上网服务营业场所审批的有关事项进行相应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eastAsia="仿宋_GB2312" w:cs="仿宋_GB2312"/>
          <w:i w:val="0"/>
          <w:iCs w:val="0"/>
          <w:caps w:val="0"/>
          <w:color w:val="000000"/>
          <w:spacing w:val="0"/>
          <w:kern w:val="0"/>
          <w:sz w:val="32"/>
          <w:szCs w:val="32"/>
        </w:rPr>
      </w:pPr>
      <w:r>
        <w:rPr>
          <w:rFonts w:hint="eastAsia" w:ascii="仿宋_GB2312" w:hAnsi="Calibri" w:eastAsia="仿宋_GB2312" w:cs="仿宋_GB2312"/>
          <w:b w:val="0"/>
          <w:bCs w:val="0"/>
          <w:i w:val="0"/>
          <w:iCs w:val="0"/>
          <w:caps w:val="0"/>
          <w:color w:val="000000"/>
          <w:spacing w:val="0"/>
          <w:kern w:val="0"/>
          <w:sz w:val="32"/>
          <w:szCs w:val="32"/>
          <w:lang w:val="en-US" w:eastAsia="zh-CN" w:bidi="ar"/>
        </w:rPr>
        <w:t>一是</w:t>
      </w:r>
      <w:r>
        <w:rPr>
          <w:rFonts w:hint="eastAsia" w:ascii="仿宋_GB2312" w:hAnsi="Calibri" w:eastAsia="仿宋_GB2312" w:cs="仿宋_GB2312"/>
          <w:i w:val="0"/>
          <w:iCs w:val="0"/>
          <w:caps w:val="0"/>
          <w:color w:val="000000"/>
          <w:spacing w:val="0"/>
          <w:kern w:val="0"/>
          <w:sz w:val="32"/>
          <w:szCs w:val="32"/>
          <w:lang w:val="en-US" w:eastAsia="zh-CN" w:bidi="ar"/>
        </w:rPr>
        <w:t>新修订的《中华人民共和国未成年人保护法》第五十八条规定“学校、幼儿园周边不得设置营业性娱乐场所、互联网上网服务营业场所等不适宜未成年人活动的场所”，需要进一步明确“</w:t>
      </w:r>
      <w:r>
        <w:rPr>
          <w:rFonts w:hint="eastAsia" w:ascii="仿宋_GB2312" w:eastAsia="仿宋_GB2312" w:cs="仿宋_GB2312"/>
          <w:i w:val="0"/>
          <w:iCs w:val="0"/>
          <w:caps w:val="0"/>
          <w:color w:val="000000"/>
          <w:spacing w:val="0"/>
          <w:kern w:val="0"/>
          <w:sz w:val="32"/>
          <w:szCs w:val="32"/>
          <w:lang w:val="en-US" w:eastAsia="zh-CN" w:bidi="ar"/>
        </w:rPr>
        <w:t>学校、</w:t>
      </w:r>
      <w:r>
        <w:rPr>
          <w:rFonts w:hint="eastAsia" w:ascii="仿宋_GB2312" w:hAnsi="Calibri" w:eastAsia="仿宋_GB2312" w:cs="仿宋_GB2312"/>
          <w:i w:val="0"/>
          <w:iCs w:val="0"/>
          <w:caps w:val="0"/>
          <w:color w:val="000000"/>
          <w:spacing w:val="0"/>
          <w:kern w:val="0"/>
          <w:sz w:val="32"/>
          <w:szCs w:val="32"/>
          <w:lang w:val="en-US" w:eastAsia="zh-CN" w:bidi="ar"/>
        </w:rPr>
        <w:t>幼儿园周边”范围。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eastAsia="仿宋_GB2312" w:cs="仿宋_GB2312"/>
          <w:i w:val="0"/>
          <w:iCs w:val="0"/>
          <w:caps w:val="0"/>
          <w:color w:val="000000"/>
          <w:spacing w:val="0"/>
          <w:kern w:val="0"/>
          <w:sz w:val="32"/>
          <w:szCs w:val="32"/>
        </w:rPr>
      </w:pPr>
      <w:r>
        <w:rPr>
          <w:rFonts w:hint="eastAsia" w:ascii="仿宋_GB2312" w:hAnsi="Calibri" w:eastAsia="仿宋_GB2312" w:cs="仿宋_GB2312"/>
          <w:b w:val="0"/>
          <w:bCs w:val="0"/>
          <w:i w:val="0"/>
          <w:iCs w:val="0"/>
          <w:caps w:val="0"/>
          <w:color w:val="000000"/>
          <w:spacing w:val="0"/>
          <w:kern w:val="0"/>
          <w:sz w:val="32"/>
          <w:szCs w:val="32"/>
          <w:lang w:val="en-US" w:eastAsia="zh-CN" w:bidi="ar"/>
        </w:rPr>
        <w:t>二是</w:t>
      </w:r>
      <w:r>
        <w:rPr>
          <w:rFonts w:hint="eastAsia" w:ascii="仿宋_GB2312" w:hAnsi="Calibri" w:eastAsia="仿宋_GB2312" w:cs="仿宋_GB2312"/>
          <w:i w:val="0"/>
          <w:iCs w:val="0"/>
          <w:caps w:val="0"/>
          <w:color w:val="000000"/>
          <w:spacing w:val="0"/>
          <w:kern w:val="0"/>
          <w:sz w:val="32"/>
          <w:szCs w:val="32"/>
          <w:lang w:val="en-US" w:eastAsia="zh-CN" w:bidi="ar"/>
        </w:rPr>
        <w:t>《娱乐场所管理条例》第七条规定“娱乐场所不得设在居民住宅区和学校、医院、机关周围”；《娱乐场所管理办法》第六条第四项规定“娱乐场所不得设立在《中华人民共和国未成年人保护法》规定的学校、幼儿园周围”，同时按照第二款要求，需要进一步明确“学校、幼儿园周围”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eastAsia="仿宋_GB2312" w:cs="仿宋_GB2312"/>
          <w:i w:val="0"/>
          <w:iCs w:val="0"/>
          <w:caps w:val="0"/>
          <w:color w:val="000000"/>
          <w:spacing w:val="0"/>
          <w:kern w:val="0"/>
          <w:sz w:val="32"/>
          <w:szCs w:val="32"/>
        </w:rPr>
      </w:pPr>
      <w:r>
        <w:rPr>
          <w:rFonts w:hint="eastAsia" w:ascii="仿宋_GB2312" w:hAnsi="Calibri" w:eastAsia="仿宋_GB2312" w:cs="仿宋_GB2312"/>
          <w:i w:val="0"/>
          <w:iCs w:val="0"/>
          <w:caps w:val="0"/>
          <w:color w:val="000000"/>
          <w:spacing w:val="0"/>
          <w:kern w:val="0"/>
          <w:sz w:val="32"/>
          <w:szCs w:val="32"/>
          <w:lang w:val="en-US" w:eastAsia="zh-CN" w:bidi="ar"/>
        </w:rPr>
        <w:t>三是《中华人民共和国环境噪声污染防治法》第四十三条规定“新建营业性文化娱乐场所的边界噪声必须符合国家规定的环境噪声排放标准，不符合标准的，文化行政主管部门不得核发文化经营许可证”；《建设项目环境影响评价分类管理目录（2021年版）》已不再将娱乐场所纳入环境影响评价名录，不再出具相关批准或者备案文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黑体" w:eastAsia="黑体" w:cs="黑体"/>
          <w:i w:val="0"/>
          <w:iCs w:val="0"/>
          <w:caps w:val="0"/>
          <w:color w:val="000000"/>
          <w:spacing w:val="0"/>
          <w:kern w:val="0"/>
          <w:sz w:val="32"/>
          <w:szCs w:val="32"/>
        </w:rPr>
      </w:pPr>
      <w:r>
        <w:rPr>
          <w:rFonts w:hint="eastAsia" w:ascii="黑体" w:hAnsi="黑体" w:eastAsia="黑体" w:cs="黑体"/>
          <w:i w:val="0"/>
          <w:iCs w:val="0"/>
          <w:caps w:val="0"/>
          <w:color w:val="000000"/>
          <w:spacing w:val="0"/>
          <w:kern w:val="0"/>
          <w:sz w:val="32"/>
          <w:szCs w:val="32"/>
          <w:lang w:val="en-US" w:eastAsia="zh-CN" w:bidi="ar"/>
        </w:rPr>
        <w:t>二、起草过程和制定依据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eastAsia="仿宋_GB2312" w:cs="仿宋_GB2312"/>
          <w:i w:val="0"/>
          <w:iCs w:val="0"/>
          <w:caps w:val="0"/>
          <w:color w:val="000000"/>
          <w:spacing w:val="0"/>
          <w:kern w:val="0"/>
          <w:sz w:val="32"/>
          <w:szCs w:val="32"/>
        </w:rPr>
      </w:pPr>
      <w:r>
        <w:rPr>
          <w:rFonts w:hint="eastAsia" w:ascii="仿宋_GB2312" w:hAnsi="Calibri" w:eastAsia="仿宋_GB2312" w:cs="仿宋_GB2312"/>
          <w:i w:val="0"/>
          <w:iCs w:val="0"/>
          <w:caps w:val="0"/>
          <w:color w:val="000000"/>
          <w:spacing w:val="0"/>
          <w:kern w:val="0"/>
          <w:sz w:val="32"/>
          <w:szCs w:val="32"/>
          <w:lang w:val="en-US" w:eastAsia="zh-CN" w:bidi="ar"/>
        </w:rPr>
        <w:t>依据《中华人民共和国未成年人保护法》《娱乐场所管理条例》《娱乐场所管理办法》等法律法规和《文化和旅游部关于调整娱乐场所和互联网上网服务营业场所审批有关事项的通知》要求，结合我区实际，起草完成了《自治区文化和旅游厅关于调整娱乐场所和互联网上网服务营业场所审批有关事项的通知（初稿）》。经组织有关人员认真讨论，先后于2022年7月、2023年7月向各市、县（区）文化和旅游局正式发文征求意见，</w:t>
      </w:r>
      <w:r>
        <w:rPr>
          <w:rFonts w:hint="default" w:ascii="仿宋_GB2312" w:eastAsia="仿宋_GB2312" w:cs="仿宋_GB2312"/>
          <w:i w:val="0"/>
          <w:iCs w:val="0"/>
          <w:caps w:val="0"/>
          <w:color w:val="000000"/>
          <w:spacing w:val="0"/>
          <w:kern w:val="0"/>
          <w:sz w:val="32"/>
          <w:szCs w:val="32"/>
          <w:lang w:val="en-US" w:eastAsia="zh-CN" w:bidi="ar"/>
        </w:rPr>
        <w:t>2024</w:t>
      </w:r>
      <w:r>
        <w:rPr>
          <w:rFonts w:hint="eastAsia" w:ascii="仿宋_GB2312" w:eastAsia="仿宋_GB2312" w:cs="仿宋_GB2312"/>
          <w:i w:val="0"/>
          <w:iCs w:val="0"/>
          <w:caps w:val="0"/>
          <w:color w:val="000000"/>
          <w:spacing w:val="0"/>
          <w:kern w:val="0"/>
          <w:sz w:val="32"/>
          <w:szCs w:val="32"/>
          <w:lang w:val="en-US" w:eastAsia="zh-CN" w:bidi="ar"/>
        </w:rPr>
        <w:t>年3月向自治区相关部门</w:t>
      </w:r>
      <w:r>
        <w:rPr>
          <w:rFonts w:hint="eastAsia" w:ascii="仿宋_GB2312" w:hAnsi="Calibri" w:eastAsia="仿宋_GB2312" w:cs="仿宋_GB2312"/>
          <w:i w:val="0"/>
          <w:iCs w:val="0"/>
          <w:caps w:val="0"/>
          <w:color w:val="000000"/>
          <w:spacing w:val="0"/>
          <w:kern w:val="0"/>
          <w:sz w:val="32"/>
          <w:szCs w:val="32"/>
          <w:lang w:val="en-US" w:eastAsia="zh-CN" w:bidi="ar"/>
        </w:rPr>
        <w:t>正式发文征求意见</w:t>
      </w:r>
      <w:r>
        <w:rPr>
          <w:rFonts w:hint="eastAsia" w:ascii="仿宋_GB2312" w:eastAsia="仿宋_GB2312" w:cs="仿宋_GB2312"/>
          <w:i w:val="0"/>
          <w:iCs w:val="0"/>
          <w:caps w:val="0"/>
          <w:color w:val="000000"/>
          <w:spacing w:val="0"/>
          <w:kern w:val="0"/>
          <w:sz w:val="32"/>
          <w:szCs w:val="32"/>
          <w:lang w:val="en-US" w:eastAsia="zh-CN" w:bidi="ar"/>
        </w:rPr>
        <w:t>。</w:t>
      </w:r>
      <w:r>
        <w:rPr>
          <w:rFonts w:hint="eastAsia" w:ascii="仿宋_GB2312" w:hAnsi="Calibri" w:eastAsia="仿宋_GB2312" w:cs="仿宋_GB2312"/>
          <w:i w:val="0"/>
          <w:iCs w:val="0"/>
          <w:caps w:val="0"/>
          <w:color w:val="000000"/>
          <w:spacing w:val="0"/>
          <w:kern w:val="0"/>
          <w:sz w:val="32"/>
          <w:szCs w:val="32"/>
          <w:lang w:val="en-US" w:eastAsia="zh-CN" w:bidi="ar"/>
        </w:rPr>
        <w:t>在采纳修改的基础上，形成《自治区文化和旅游厅关于调整娱乐场所和互联网上网服务营业场所审批有关事项的通知（征求意见稿）》。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黑体" w:eastAsia="黑体" w:cs="黑体"/>
          <w:i w:val="0"/>
          <w:iCs w:val="0"/>
          <w:caps w:val="0"/>
          <w:color w:val="000000"/>
          <w:spacing w:val="0"/>
          <w:kern w:val="0"/>
          <w:sz w:val="32"/>
          <w:szCs w:val="32"/>
        </w:rPr>
      </w:pPr>
      <w:r>
        <w:rPr>
          <w:rFonts w:hint="eastAsia" w:ascii="黑体" w:hAnsi="黑体" w:eastAsia="黑体" w:cs="黑体"/>
          <w:i w:val="0"/>
          <w:iCs w:val="0"/>
          <w:caps w:val="0"/>
          <w:color w:val="000000"/>
          <w:spacing w:val="0"/>
          <w:kern w:val="0"/>
          <w:sz w:val="32"/>
          <w:szCs w:val="32"/>
          <w:lang w:val="en-US" w:eastAsia="zh-CN" w:bidi="ar"/>
        </w:rPr>
        <w:t>三、主要内容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eastAsia="仿宋_GB2312" w:cs="仿宋_GB2312"/>
          <w:i w:val="0"/>
          <w:iCs w:val="0"/>
          <w:caps w:val="0"/>
          <w:color w:val="000000"/>
          <w:spacing w:val="0"/>
          <w:kern w:val="0"/>
          <w:sz w:val="32"/>
          <w:szCs w:val="32"/>
        </w:rPr>
      </w:pPr>
      <w:r>
        <w:rPr>
          <w:rFonts w:hint="eastAsia" w:ascii="仿宋_GB2312" w:hAnsi="Calibri" w:eastAsia="仿宋_GB2312" w:cs="仿宋_GB2312"/>
          <w:i w:val="0"/>
          <w:iCs w:val="0"/>
          <w:caps w:val="0"/>
          <w:color w:val="000000"/>
          <w:spacing w:val="0"/>
          <w:kern w:val="0"/>
          <w:sz w:val="32"/>
          <w:szCs w:val="32"/>
          <w:lang w:val="en-US" w:eastAsia="zh-CN" w:bidi="ar"/>
        </w:rPr>
        <w:t>《通知》坚持问题导向，对娱乐场所和上网服务营业场所审批有关事项进行了调整和明确，推动相关政策落实落地。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eastAsia="仿宋_GB2312" w:cs="仿宋_GB2312"/>
          <w:i w:val="0"/>
          <w:iCs w:val="0"/>
          <w:caps w:val="0"/>
          <w:color w:val="000000"/>
          <w:spacing w:val="0"/>
          <w:kern w:val="0"/>
          <w:sz w:val="32"/>
          <w:szCs w:val="32"/>
        </w:rPr>
      </w:pPr>
      <w:r>
        <w:rPr>
          <w:rFonts w:hint="eastAsia" w:ascii="仿宋_GB2312" w:hAnsi="Calibri" w:eastAsia="仿宋_GB2312" w:cs="仿宋_GB2312"/>
          <w:i w:val="0"/>
          <w:iCs w:val="0"/>
          <w:caps w:val="0"/>
          <w:color w:val="000000"/>
          <w:spacing w:val="0"/>
          <w:kern w:val="0"/>
          <w:sz w:val="32"/>
          <w:szCs w:val="32"/>
          <w:lang w:val="en-US" w:eastAsia="zh-CN" w:bidi="ar"/>
        </w:rPr>
        <w:t>全国人大常委会法制工作委员会《关于未成年人保护法第五十八条中幼儿园周边不得设置有关场所规定含义理解和适用问题的答复意见》指出，可由地方结合本地实际对学校、幼儿园“周边”的具体范围做出明确规定。《娱乐场所管理办法》第六条规定，娱乐场所与学校、幼儿园距离及其测量方法由省级人民政府文化和旅游主管部门规定。《文化和旅游部关于调整娱乐场所和互联网上网服务营业场所审批有关事项的通知》明确，幼儿园与娱乐场所、互联网上网服务营业场所距离及测量方法，由省级文化和旅游行政部门结合实际作出具体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eastAsia="仿宋_GB2312" w:cs="仿宋_GB2312"/>
          <w:i w:val="0"/>
          <w:iCs w:val="0"/>
          <w:caps w:val="0"/>
          <w:color w:val="000000"/>
          <w:spacing w:val="0"/>
          <w:kern w:val="0"/>
          <w:sz w:val="32"/>
          <w:szCs w:val="32"/>
        </w:rPr>
      </w:pPr>
      <w:r>
        <w:rPr>
          <w:rFonts w:hint="eastAsia" w:ascii="仿宋_GB2312" w:hAnsi="Calibri" w:eastAsia="仿宋_GB2312" w:cs="仿宋_GB2312"/>
          <w:i w:val="0"/>
          <w:iCs w:val="0"/>
          <w:caps w:val="0"/>
          <w:color w:val="000000"/>
          <w:spacing w:val="0"/>
          <w:kern w:val="0"/>
          <w:sz w:val="32"/>
          <w:szCs w:val="32"/>
          <w:lang w:val="en-US" w:eastAsia="zh-CN" w:bidi="ar"/>
        </w:rPr>
        <w:t>借鉴全国其他省（区、市）已出台的测量距离要求，参照原自治区文化厅《关于做好下放互联网上网服务营业场所审批进一步深化网络文化市场管理工作的通知》（宁文通发〔2014〕40号）要求“中小学校园周边（校园围墙外墙）200米范围内不得设立互联网上网服务营业场所”，《关于进一步规范游艺娱乐场所审批加强游艺娱乐场所监管的通知》（宁文通发〔2015〕84号）要求“游艺娱乐场所不得设立在距中学、小学校园出入口最低交通行走距离200米范围内”</w:t>
      </w:r>
      <w:r>
        <w:rPr>
          <w:rFonts w:hint="eastAsia" w:ascii="仿宋_GB2312" w:eastAsia="仿宋_GB2312" w:cs="仿宋_GB2312"/>
          <w:i w:val="0"/>
          <w:iCs w:val="0"/>
          <w:caps w:val="0"/>
          <w:color w:val="000000"/>
          <w:spacing w:val="0"/>
          <w:kern w:val="0"/>
          <w:sz w:val="32"/>
          <w:szCs w:val="32"/>
          <w:lang w:val="en-US" w:eastAsia="zh-CN" w:bidi="ar"/>
        </w:rPr>
        <w:t>。</w:t>
      </w:r>
      <w:r>
        <w:rPr>
          <w:rFonts w:hint="eastAsia" w:ascii="仿宋_GB2312" w:hAnsi="Calibri" w:eastAsia="仿宋_GB2312" w:cs="仿宋_GB2312"/>
          <w:i w:val="0"/>
          <w:iCs w:val="0"/>
          <w:caps w:val="0"/>
          <w:color w:val="000000"/>
          <w:spacing w:val="0"/>
          <w:kern w:val="0"/>
          <w:sz w:val="32"/>
          <w:szCs w:val="32"/>
          <w:lang w:val="en-US" w:eastAsia="zh-CN" w:bidi="ar"/>
        </w:rPr>
        <w:t>结合实际，规定娱乐场所、互联网上网服务营业场所不得设立在距离学校、幼儿园200米范围内。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eastAsia="仿宋_GB2312" w:cs="仿宋_GB2312"/>
          <w:i w:val="0"/>
          <w:iCs w:val="0"/>
          <w:caps w:val="0"/>
          <w:color w:val="000000"/>
          <w:spacing w:val="0"/>
          <w:kern w:val="0"/>
          <w:sz w:val="32"/>
          <w:szCs w:val="32"/>
        </w:rPr>
      </w:pPr>
      <w:r>
        <w:rPr>
          <w:rFonts w:hint="eastAsia" w:ascii="仿宋_GB2312" w:hAnsi="Calibri" w:eastAsia="仿宋_GB2312" w:cs="仿宋_GB2312"/>
          <w:i w:val="0"/>
          <w:iCs w:val="0"/>
          <w:caps w:val="0"/>
          <w:color w:val="000000"/>
          <w:spacing w:val="0"/>
          <w:kern w:val="0"/>
          <w:sz w:val="32"/>
          <w:szCs w:val="32"/>
          <w:lang w:val="en-US" w:eastAsia="zh-CN" w:bidi="ar"/>
        </w:rPr>
        <w:t>距离测量方法：两地主出入口的最低交通行走距离（不包含非日常人员出入的应急通道、消防通道）。场所位于建筑物内且与建筑物共用进出通道的，以建筑物一层距离场所最近的出入口为准进行测量。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eastAsia="仿宋_GB2312" w:cs="仿宋_GB2312"/>
          <w:i w:val="0"/>
          <w:iCs w:val="0"/>
          <w:caps w:val="0"/>
          <w:color w:val="000000"/>
          <w:spacing w:val="0"/>
          <w:kern w:val="0"/>
          <w:sz w:val="32"/>
          <w:szCs w:val="32"/>
        </w:rPr>
      </w:pPr>
      <w:r>
        <w:rPr>
          <w:rFonts w:hint="eastAsia" w:ascii="仿宋_GB2312" w:hAnsi="Calibri" w:eastAsia="仿宋_GB2312" w:cs="仿宋_GB2312"/>
          <w:i w:val="0"/>
          <w:iCs w:val="0"/>
          <w:caps w:val="0"/>
          <w:color w:val="000000"/>
          <w:spacing w:val="0"/>
          <w:kern w:val="2"/>
          <w:sz w:val="32"/>
          <w:szCs w:val="32"/>
          <w:lang w:val="en-US" w:eastAsia="zh-CN" w:bidi="ar"/>
        </w:rPr>
        <w:t>《中华人民共和国未成年人保护法》施行前已开设在幼儿园周边的娱乐场所、互联网上网服务营业场所，审批机关在办理经营许可证延续或变更时，应当严格依照有关法律规定执行，切实落实不得在学校、幼儿园周围设立娱乐场所、</w:t>
      </w:r>
      <w:r>
        <w:rPr>
          <w:rFonts w:hint="eastAsia" w:ascii="仿宋_GB2312" w:hAnsi="Calibri" w:eastAsia="仿宋_GB2312" w:cs="仿宋_GB2312"/>
          <w:i w:val="0"/>
          <w:iCs w:val="0"/>
          <w:caps w:val="0"/>
          <w:color w:val="000000"/>
          <w:spacing w:val="0"/>
          <w:kern w:val="0"/>
          <w:sz w:val="32"/>
          <w:szCs w:val="32"/>
          <w:lang w:val="en-US" w:eastAsia="zh-CN" w:bidi="ar"/>
        </w:rPr>
        <w:t>互联网上网服务营业场所</w:t>
      </w:r>
      <w:r>
        <w:rPr>
          <w:rFonts w:hint="eastAsia" w:ascii="仿宋_GB2312" w:hAnsi="Calibri" w:eastAsia="仿宋_GB2312" w:cs="仿宋_GB2312"/>
          <w:i w:val="0"/>
          <w:iCs w:val="0"/>
          <w:caps w:val="0"/>
          <w:color w:val="000000"/>
          <w:spacing w:val="0"/>
          <w:kern w:val="2"/>
          <w:sz w:val="32"/>
          <w:szCs w:val="32"/>
          <w:lang w:val="en-US" w:eastAsia="zh-CN" w:bidi="ar"/>
        </w:rPr>
        <w:t>的法定要求。</w:t>
      </w:r>
    </w:p>
    <w:p>
      <w:pPr>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eastAsia="仿宋_GB2312" w:cs="仿宋_GB2312"/>
          <w:i w:val="0"/>
          <w:iCs w:val="0"/>
          <w:caps w:val="0"/>
          <w:color w:val="000000"/>
          <w:spacing w:val="0"/>
          <w:kern w:val="0"/>
          <w:sz w:val="32"/>
          <w:szCs w:val="32"/>
          <w:shd w:val="clear" w:color="auto" w:fill="FFFFFF"/>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特此说明。</w:t>
      </w:r>
    </w:p>
    <w:p>
      <w:pPr>
        <w:keepNext w:val="0"/>
        <w:keepLines w:val="0"/>
        <w:widowControl w:val="0"/>
        <w:suppressLineNumbers w:val="0"/>
        <w:autoSpaceDE w:val="0"/>
        <w:autoSpaceDN/>
        <w:spacing w:before="0" w:beforeAutospacing="0" w:after="0" w:afterAutospacing="0" w:line="600" w:lineRule="exact"/>
        <w:ind w:left="0" w:right="0" w:firstLine="5120" w:firstLineChars="1600"/>
        <w:jc w:val="both"/>
        <w:rPr>
          <w:rFonts w:hint="eastAsia" w:ascii="仿宋_GB2312" w:hAnsi="仿宋_GB2312" w:eastAsia="仿宋_GB2312" w:cs="仿宋_GB2312"/>
          <w:b w:val="0"/>
          <w:bCs w:val="0"/>
          <w:kern w:val="2"/>
          <w:sz w:val="32"/>
          <w:szCs w:val="32"/>
          <w:lang w:val="en-US" w:eastAsia="zh-CN" w:bidi="ar"/>
        </w:rPr>
      </w:pPr>
    </w:p>
    <w:p>
      <w:pPr>
        <w:keepNext w:val="0"/>
        <w:keepLines w:val="0"/>
        <w:widowControl w:val="0"/>
        <w:suppressLineNumbers w:val="0"/>
        <w:autoSpaceDE w:val="0"/>
        <w:autoSpaceDN/>
        <w:spacing w:before="0" w:beforeAutospacing="0" w:after="0" w:afterAutospacing="0" w:line="600" w:lineRule="exact"/>
        <w:ind w:left="0" w:right="0" w:firstLine="5120" w:firstLineChars="1600"/>
        <w:jc w:val="both"/>
        <w:rPr>
          <w:rFonts w:hint="eastAsia" w:ascii="仿宋_GB2312" w:hAnsi="仿宋_GB2312" w:eastAsia="仿宋_GB2312" w:cs="仿宋_GB2312"/>
          <w:b w:val="0"/>
          <w:bCs w:val="0"/>
          <w:kern w:val="2"/>
          <w:sz w:val="32"/>
          <w:szCs w:val="32"/>
          <w:lang w:val="en-US" w:eastAsia="zh-CN" w:bidi="ar"/>
        </w:rPr>
      </w:pPr>
    </w:p>
    <w:p>
      <w:pPr>
        <w:keepNext w:val="0"/>
        <w:keepLines w:val="0"/>
        <w:widowControl w:val="0"/>
        <w:suppressLineNumbers w:val="0"/>
        <w:autoSpaceDE w:val="0"/>
        <w:autoSpaceDN/>
        <w:spacing w:before="0" w:beforeAutospacing="0" w:after="0" w:afterAutospacing="0" w:line="600" w:lineRule="exact"/>
        <w:ind w:left="0" w:right="0" w:firstLine="5120" w:firstLineChars="1600"/>
        <w:jc w:val="both"/>
        <w:rPr>
          <w:rFonts w:hint="eastAsia" w:ascii="仿宋_GB2312" w:hAnsi="仿宋_GB2312" w:eastAsia="仿宋_GB2312" w:cs="仿宋_GB2312"/>
          <w:b w:val="0"/>
          <w:bCs w:val="0"/>
          <w:kern w:val="2"/>
          <w:sz w:val="32"/>
          <w:szCs w:val="32"/>
          <w:lang w:val="en-US" w:eastAsia="zh-CN" w:bidi="ar"/>
        </w:rPr>
      </w:pPr>
    </w:p>
    <w:p>
      <w:pPr>
        <w:pStyle w:val="2"/>
        <w:ind w:left="0" w:leftChars="0" w:firstLine="0" w:firstLineChars="0"/>
        <w:rPr>
          <w:rFonts w:hint="eastAsia" w:ascii="仿宋_GB2312" w:hAnsi="仿宋_GB2312" w:eastAsia="仿宋_GB2312" w:cs="仿宋_GB2312"/>
          <w:b w:val="0"/>
          <w:bCs w:val="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sans-serif" w:hAnsi="sans-serif" w:eastAsia="sans-serif" w:cs="sans-serif"/>
          <w:i w:val="0"/>
          <w:caps w:val="0"/>
          <w:color w:val="000000"/>
          <w:spacing w:val="0"/>
          <w:kern w:val="0"/>
          <w:sz w:val="32"/>
          <w:szCs w:val="32"/>
          <w:shd w:val="clear" w:color="auto"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ZWE2MDVkYzczMGQwN2ZmMzY5NDNjOTllMzEwOWUifQ=="/>
  </w:docVars>
  <w:rsids>
    <w:rsidRoot w:val="64FC7355"/>
    <w:rsid w:val="64FC7355"/>
    <w:rsid w:val="65FF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9"/>
    <w:pPr>
      <w:spacing w:beforeLines="50" w:line="520" w:lineRule="exact"/>
      <w:ind w:firstLine="643" w:firstLineChars="200"/>
      <w:outlineLvl w:val="1"/>
    </w:pPr>
    <w:rPr>
      <w:rFonts w:hint="eastAsia" w:ascii="黑体" w:hAnsi="黑体" w:eastAsia="黑体"/>
      <w:b/>
      <w:sz w:val="32"/>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header"/>
    <w:basedOn w:val="1"/>
    <w:next w:val="1"/>
    <w:unhideWhenUsed/>
    <w:qFormat/>
    <w:uiPriority w:val="99"/>
    <w:pPr>
      <w:pBdr>
        <w:bottom w:val="single" w:color="auto" w:sz="6" w:space="1"/>
      </w:pBdr>
      <w:tabs>
        <w:tab w:val="center" w:pos="4153"/>
        <w:tab w:val="right" w:pos="8306"/>
      </w:tabs>
      <w:snapToGrid w:val="0"/>
      <w:jc w:val="center"/>
    </w:pPr>
    <w:rPr>
      <w:rFonts w:hint="eastAsia"/>
      <w:sz w:val="18"/>
      <w:szCs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2024-05-24T08:47:00Z</dcterms:created>
  <dc:creator>枫儿吹</dc:creator>
  <cp:lastModifiedBy>枫儿吹</cp:lastModifiedBy>
  <dcterms:modified xsi:type="dcterms:W3CDTF">2024-05-24T08:48:50Z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9A6AD1FB435948CE97CCD90ADA145DED_13</vt:lpwstr>
  </property>
</Properties>
</file>