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both"/>
        <w:rPr>
          <w:rFonts w:hint="eastAsia" w:ascii="黑体" w:hAnsi="黑体" w:eastAsia="黑体" w:cs="黑体"/>
          <w:b w:val="0"/>
          <w:bCs/>
          <w:i w:val="0"/>
          <w:iCs w:val="0"/>
          <w:caps w:val="0"/>
          <w:color w:val="000000"/>
          <w:spacing w:val="0"/>
          <w:kern w:val="0"/>
          <w:sz w:val="32"/>
          <w:szCs w:val="32"/>
          <w:lang w:val="en-US" w:eastAsia="zh-CN" w:bidi="ar"/>
        </w:rPr>
      </w:pPr>
      <w:r>
        <w:rPr>
          <w:rFonts w:hint="eastAsia" w:ascii="黑体" w:hAnsi="黑体" w:eastAsia="黑体" w:cs="黑体"/>
          <w:b w:val="0"/>
          <w:bCs/>
          <w:i w:val="0"/>
          <w:iCs w:val="0"/>
          <w:caps w:val="0"/>
          <w:color w:val="000000"/>
          <w:spacing w:val="0"/>
          <w:kern w:val="0"/>
          <w:sz w:val="32"/>
          <w:szCs w:val="32"/>
          <w:lang w:val="en-US" w:eastAsia="zh-CN" w:bidi="ar"/>
        </w:rPr>
        <w:t>附件1</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0"/>
          <w:sz w:val="44"/>
          <w:szCs w:val="44"/>
        </w:rPr>
      </w:pPr>
      <w:bookmarkStart w:id="0" w:name="_GoBack"/>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自治区文化和旅游厅关于调整娱乐场所和</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6"/>
          <w:sz w:val="44"/>
          <w:szCs w:val="44"/>
        </w:rPr>
      </w:pPr>
      <w:r>
        <w:rPr>
          <w:rFonts w:hint="eastAsia" w:ascii="方正小标宋_GBK" w:hAnsi="方正小标宋_GBK" w:eastAsia="方正小标宋_GBK" w:cs="方正小标宋_GBK"/>
          <w:b w:val="0"/>
          <w:bCs/>
          <w:i w:val="0"/>
          <w:iCs w:val="0"/>
          <w:caps w:val="0"/>
          <w:color w:val="000000"/>
          <w:spacing w:val="-6"/>
          <w:kern w:val="0"/>
          <w:sz w:val="44"/>
          <w:szCs w:val="44"/>
          <w:lang w:val="en-US" w:eastAsia="zh-CN" w:bidi="ar"/>
        </w:rPr>
        <w:t>互联网上网服务营业场所审批有关事项的通知</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楷体_GBK" w:hAnsi="方正楷体_GBK" w:eastAsia="方正楷体_GBK" w:cs="方正楷体_GBK"/>
          <w:b w:val="0"/>
          <w:bCs/>
          <w:i w:val="0"/>
          <w:iCs w:val="0"/>
          <w:caps w:val="0"/>
          <w:color w:val="000000"/>
          <w:spacing w:val="0"/>
          <w:sz w:val="32"/>
          <w:szCs w:val="32"/>
        </w:rPr>
      </w:pPr>
      <w:r>
        <w:rPr>
          <w:rFonts w:hint="eastAsia" w:ascii="方正楷体_GBK" w:hAnsi="方正楷体_GBK" w:eastAsia="方正楷体_GBK" w:cs="方正楷体_GBK"/>
          <w:b w:val="0"/>
          <w:bCs/>
          <w:i w:val="0"/>
          <w:iCs w:val="0"/>
          <w:caps w:val="0"/>
          <w:color w:val="000000"/>
          <w:spacing w:val="0"/>
          <w:kern w:val="0"/>
          <w:sz w:val="32"/>
          <w:szCs w:val="32"/>
          <w:lang w:val="en-US" w:eastAsia="zh-CN" w:bidi="ar"/>
        </w:rPr>
        <w:t>（征求意见稿）</w:t>
      </w:r>
    </w:p>
    <w:bookmarkEnd w:id="0"/>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firstLine="880" w:firstLineChars="200"/>
        <w:jc w:val="center"/>
        <w:rPr>
          <w:rFonts w:hint="eastAsia" w:ascii="方正小标宋_GBK" w:hAnsi="方正小标宋_GBK" w:eastAsia="方正小标宋_GBK" w:cs="方正小标宋_GBK"/>
          <w:b w:val="0"/>
          <w:bCs/>
          <w:i w:val="0"/>
          <w:iCs w:val="0"/>
          <w:caps w:val="0"/>
          <w:color w:val="000000"/>
          <w:spacing w:val="0"/>
          <w:sz w:val="44"/>
          <w:szCs w:val="44"/>
        </w:rPr>
      </w:pPr>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为贯彻实施《中华人民共和国未成年人保护法》，落实国务院“证照分离”改革要求，按照2022年新修订《娱乐场所管理办法》第六条第二款规定及《文化和旅游部关于调整娱乐场所和互联网上网服务营业场所审批有关事项的通知》（文旅市场发〔2021〕57号）要求，现就调整娱乐场所、互联网上网服务营业场所审批有关事项通知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i w:val="0"/>
          <w:iCs w:val="0"/>
          <w:caps w:val="0"/>
          <w:color w:val="000000"/>
          <w:spacing w:val="0"/>
          <w:kern w:val="0"/>
          <w:sz w:val="32"/>
          <w:szCs w:val="32"/>
        </w:rPr>
      </w:pPr>
      <w:r>
        <w:rPr>
          <w:rFonts w:hint="eastAsia" w:ascii="仿宋_GB2312" w:hAnsi="Calibri" w:eastAsia="仿宋_GB2312" w:cs="仿宋_GB2312"/>
          <w:i w:val="0"/>
          <w:iCs w:val="0"/>
          <w:caps w:val="0"/>
          <w:color w:val="000000"/>
          <w:spacing w:val="0"/>
          <w:kern w:val="0"/>
          <w:sz w:val="32"/>
          <w:szCs w:val="32"/>
          <w:lang w:val="en-US" w:eastAsia="zh-CN" w:bidi="ar"/>
        </w:rPr>
        <w:t>根据《中华人民共和国未成年人保护法》第五十八条</w:t>
      </w:r>
      <w:r>
        <w:rPr>
          <w:rFonts w:hint="eastAsia" w:ascii="仿宋_GB2312" w:eastAsia="仿宋_GB2312" w:cs="仿宋_GB2312"/>
          <w:i w:val="0"/>
          <w:iCs w:val="0"/>
          <w:caps w:val="0"/>
          <w:color w:val="000000"/>
          <w:spacing w:val="0"/>
          <w:kern w:val="0"/>
          <w:sz w:val="32"/>
          <w:szCs w:val="32"/>
          <w:lang w:val="en-US" w:eastAsia="zh-CN" w:bidi="ar"/>
        </w:rPr>
        <w:t>、</w:t>
      </w:r>
      <w:r>
        <w:rPr>
          <w:rFonts w:hint="eastAsia" w:ascii="仿宋_GB2312" w:hAnsi="Calibri" w:eastAsia="仿宋_GB2312" w:cs="仿宋_GB2312"/>
          <w:i w:val="0"/>
          <w:iCs w:val="0"/>
          <w:caps w:val="0"/>
          <w:color w:val="000000"/>
          <w:spacing w:val="0"/>
          <w:kern w:val="2"/>
          <w:sz w:val="32"/>
          <w:szCs w:val="32"/>
          <w:lang w:val="en-US" w:eastAsia="zh-CN" w:bidi="ar"/>
        </w:rPr>
        <w:t>《娱乐场所管理办法》第六条</w:t>
      </w:r>
      <w:r>
        <w:rPr>
          <w:rFonts w:hint="eastAsia" w:ascii="仿宋_GB2312" w:eastAsia="仿宋_GB2312" w:cs="仿宋_GB2312"/>
          <w:i w:val="0"/>
          <w:iCs w:val="0"/>
          <w:caps w:val="0"/>
          <w:color w:val="000000"/>
          <w:spacing w:val="0"/>
          <w:kern w:val="2"/>
          <w:sz w:val="32"/>
          <w:szCs w:val="32"/>
          <w:lang w:val="en-US" w:eastAsia="zh-CN" w:bidi="ar"/>
        </w:rPr>
        <w:t>规定</w:t>
      </w:r>
      <w:r>
        <w:rPr>
          <w:rFonts w:hint="eastAsia" w:ascii="仿宋_GB2312" w:hAnsi="Calibri" w:eastAsia="仿宋_GB2312" w:cs="仿宋_GB2312"/>
          <w:i w:val="0"/>
          <w:iCs w:val="0"/>
          <w:caps w:val="0"/>
          <w:color w:val="000000"/>
          <w:spacing w:val="0"/>
          <w:kern w:val="2"/>
          <w:sz w:val="32"/>
          <w:szCs w:val="32"/>
          <w:lang w:val="en-US" w:eastAsia="zh-CN" w:bidi="ar"/>
        </w:rPr>
        <w:t>，</w:t>
      </w:r>
      <w:r>
        <w:rPr>
          <w:rFonts w:hint="eastAsia" w:ascii="仿宋_GB2312" w:eastAsia="仿宋_GB2312" w:cs="仿宋_GB2312"/>
          <w:i w:val="0"/>
          <w:iCs w:val="0"/>
          <w:caps w:val="0"/>
          <w:color w:val="000000"/>
          <w:spacing w:val="0"/>
          <w:kern w:val="2"/>
          <w:sz w:val="32"/>
          <w:szCs w:val="32"/>
          <w:lang w:val="en-US" w:eastAsia="zh-CN" w:bidi="ar"/>
        </w:rPr>
        <w:t>结合我区实际，</w:t>
      </w:r>
      <w:r>
        <w:rPr>
          <w:rFonts w:hint="eastAsia" w:ascii="仿宋_GB2312" w:hAnsi="Calibri" w:eastAsia="仿宋_GB2312" w:cs="仿宋_GB2312"/>
          <w:i w:val="0"/>
          <w:iCs w:val="0"/>
          <w:caps w:val="0"/>
          <w:color w:val="000000"/>
          <w:spacing w:val="0"/>
          <w:kern w:val="0"/>
          <w:sz w:val="32"/>
          <w:szCs w:val="32"/>
          <w:lang w:val="en-US" w:eastAsia="zh-CN" w:bidi="ar"/>
        </w:rPr>
        <w:t>规定娱乐场所、互联网上网服务营业场所不得设立在距离《中华人民共和国未成年人保护法》规定的学校、幼儿园200米范围内。距离测量方法统一规定为：两地主出入口的最低交通行走距离（不包含非日常人员出入的应急通道、消防通道）。场所位于建筑物内且与建筑物共用进出通道的，以建筑物一层距离场所最近的出入口为准进行测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仿宋_GB2312"/>
          <w:i w:val="0"/>
          <w:iCs w:val="0"/>
          <w:caps w:val="0"/>
          <w:color w:val="000000"/>
          <w:spacing w:val="0"/>
          <w:kern w:val="2"/>
          <w:sz w:val="32"/>
          <w:szCs w:val="32"/>
        </w:rPr>
      </w:pPr>
      <w:r>
        <w:rPr>
          <w:rFonts w:hint="eastAsia" w:ascii="仿宋_GB2312" w:hAnsi="Calibri" w:eastAsia="仿宋_GB2312" w:cs="仿宋_GB2312"/>
          <w:i w:val="0"/>
          <w:iCs w:val="0"/>
          <w:caps w:val="0"/>
          <w:color w:val="000000"/>
          <w:spacing w:val="0"/>
          <w:kern w:val="2"/>
          <w:sz w:val="32"/>
          <w:szCs w:val="32"/>
          <w:lang w:val="en-US" w:eastAsia="zh-CN" w:bidi="ar"/>
        </w:rPr>
        <w:t>《中华人民共和国未成年人保护法》施行前已开设在中小学、幼儿园周边的娱乐场所、互联网上网服务营业场所，审批机关在办理经营许可证延续或变更时，应当严格依照有关法律规定执行，切实落实不得在学校、幼儿园周边设置娱乐场所、互联网上网服务营业场所的法定要求。</w:t>
      </w:r>
    </w:p>
    <w:p>
      <w:pPr>
        <w:keepNext w:val="0"/>
        <w:keepLines w:val="0"/>
        <w:widowControl w:val="0"/>
        <w:suppressLineNumbers w:val="0"/>
        <w:autoSpaceDE w:val="0"/>
        <w:autoSpaceDN/>
        <w:spacing w:before="0" w:beforeAutospacing="0" w:after="0" w:afterAutospacing="0" w:line="576" w:lineRule="exact"/>
        <w:ind w:left="0" w:right="0" w:firstLine="640" w:firstLineChars="200"/>
        <w:jc w:val="both"/>
        <w:rPr>
          <w:rFonts w:hint="eastAsia" w:ascii="仿宋_GB2312" w:eastAsia="仿宋_GB2312" w:cs="仿宋_GB2312"/>
          <w:i w:val="0"/>
          <w:iCs w:val="0"/>
          <w:caps w:val="0"/>
          <w:color w:val="000000"/>
          <w:spacing w:val="0"/>
          <w:kern w:val="2"/>
          <w:sz w:val="32"/>
          <w:szCs w:val="32"/>
        </w:rPr>
      </w:pPr>
      <w:r>
        <w:rPr>
          <w:rFonts w:hint="eastAsia" w:ascii="仿宋_GB2312" w:hAnsi="Calibri" w:eastAsia="仿宋_GB2312" w:cs="仿宋_GB2312"/>
          <w:i w:val="0"/>
          <w:iCs w:val="0"/>
          <w:caps w:val="0"/>
          <w:color w:val="000000"/>
          <w:spacing w:val="0"/>
          <w:kern w:val="2"/>
          <w:sz w:val="32"/>
          <w:szCs w:val="32"/>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0"/>
          <w:sz w:val="44"/>
          <w:szCs w:val="44"/>
        </w:rPr>
      </w:pPr>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0"/>
          <w:sz w:val="44"/>
          <w:szCs w:val="44"/>
        </w:rPr>
      </w:pPr>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0"/>
          <w:sz w:val="44"/>
          <w:szCs w:val="44"/>
        </w:rPr>
      </w:pPr>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0"/>
          <w:sz w:val="44"/>
          <w:szCs w:val="44"/>
        </w:rPr>
      </w:pPr>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0"/>
          <w:sz w:val="44"/>
          <w:szCs w:val="44"/>
        </w:rPr>
      </w:pPr>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right="0"/>
        <w:jc w:val="center"/>
        <w:rPr>
          <w:rFonts w:hint="eastAsia" w:ascii="方正小标宋_GBK" w:hAnsi="方正小标宋_GBK" w:eastAsia="方正小标宋_GBK" w:cs="方正小标宋_GBK"/>
          <w:b w:val="0"/>
          <w:bCs/>
          <w:i w:val="0"/>
          <w:iCs w:val="0"/>
          <w:caps w:val="0"/>
          <w:color w:val="000000"/>
          <w:spacing w:val="0"/>
          <w:sz w:val="44"/>
          <w:szCs w:val="44"/>
        </w:rPr>
      </w:pPr>
      <w:r>
        <w:rPr>
          <w:rFonts w:hint="eastAsia" w:ascii="方正小标宋_GBK" w:hAnsi="方正小标宋_GBK" w:eastAsia="方正小标宋_GBK" w:cs="方正小标宋_GBK"/>
          <w:b w:val="0"/>
          <w:bCs/>
          <w:i w:val="0"/>
          <w:iCs w:val="0"/>
          <w:caps w:val="0"/>
          <w:color w:val="000000"/>
          <w:spacing w:val="0"/>
          <w:kern w:val="0"/>
          <w:sz w:val="44"/>
          <w:szCs w:val="4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WE2MDVkYzczMGQwN2ZmMzY5NDNjOTllMzEwOWUifQ=="/>
  </w:docVars>
  <w:rsids>
    <w:rsidRoot w:val="64FC7355"/>
    <w:rsid w:val="64FC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9"/>
    <w:pPr>
      <w:spacing w:beforeLines="50" w:line="520" w:lineRule="exact"/>
      <w:ind w:firstLine="643" w:firstLineChars="200"/>
      <w:outlineLvl w:val="1"/>
    </w:pPr>
    <w:rPr>
      <w:rFonts w:hint="eastAsia" w:ascii="黑体" w:hAnsi="黑体" w:eastAsia="黑体"/>
      <w:b/>
      <w:sz w:val="32"/>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header"/>
    <w:basedOn w:val="1"/>
    <w:next w:val="1"/>
    <w:unhideWhenUsed/>
    <w:qFormat/>
    <w:uiPriority w:val="99"/>
    <w:pPr>
      <w:pBdr>
        <w:bottom w:val="single" w:color="auto" w:sz="6" w:space="1"/>
      </w:pBdr>
      <w:tabs>
        <w:tab w:val="center" w:pos="4153"/>
        <w:tab w:val="right" w:pos="8306"/>
      </w:tabs>
      <w:snapToGrid w:val="0"/>
      <w:jc w:val="center"/>
    </w:pPr>
    <w:rPr>
      <w:rFonts w:hint="eastAsia"/>
      <w:sz w:val="18"/>
      <w:szCs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2024-05-24T08:47:00Z</dcterms:created>
  <dc:creator>枫儿吹</dc:creator>
  <cp:lastModifiedBy>枫儿吹</cp:lastModifiedBy>
  <dcterms:modified xsi:type="dcterms:W3CDTF">2024-05-24T08:48:21Z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10467C4E4BE94247A8017206510F4791_11</vt:lpwstr>
  </property>
</Properties>
</file>