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D2BE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附件2</w:t>
      </w:r>
    </w:p>
    <w:p w14:paraId="1C9203BA">
      <w:pPr>
        <w:pStyle w:val="3"/>
        <w:numPr>
          <w:ilvl w:val="0"/>
          <w:numId w:val="0"/>
        </w:numPr>
        <w:adjustRightInd/>
        <w:spacing w:line="400" w:lineRule="exact"/>
        <w:ind w:right="0" w:rightChars="0"/>
        <w:jc w:val="center"/>
        <w:rPr>
          <w:rFonts w:hint="eastAsia" w:ascii="方正小标宋_GBK" w:hAnsi="方正小标宋_GBK" w:eastAsia="方正小标宋_GBK" w:cs="方正小标宋_GBK"/>
          <w:sz w:val="36"/>
          <w:szCs w:val="36"/>
          <w:lang w:eastAsia="zh-CN"/>
        </w:rPr>
      </w:pPr>
      <w:bookmarkStart w:id="1" w:name="_GoBack"/>
      <w:bookmarkStart w:id="0" w:name="_Toc43915202"/>
      <w:r>
        <w:rPr>
          <w:rFonts w:hint="eastAsia" w:ascii="方正小标宋_GBK" w:hAnsi="方正小标宋_GBK" w:eastAsia="方正小标宋_GBK" w:cs="方正小标宋_GBK"/>
          <w:sz w:val="36"/>
          <w:szCs w:val="36"/>
          <w:lang w:eastAsia="zh-CN"/>
        </w:rPr>
        <w:t>第二十</w:t>
      </w:r>
      <w:r>
        <w:rPr>
          <w:rFonts w:hint="eastAsia" w:ascii="方正小标宋_GBK" w:hAnsi="方正小标宋_GBK" w:eastAsia="方正小标宋_GBK" w:cs="方正小标宋_GBK"/>
          <w:sz w:val="36"/>
          <w:szCs w:val="36"/>
          <w:lang w:val="en-US" w:eastAsia="zh-CN"/>
        </w:rPr>
        <w:t>一</w:t>
      </w:r>
      <w:r>
        <w:rPr>
          <w:rFonts w:hint="eastAsia" w:ascii="方正小标宋_GBK" w:hAnsi="方正小标宋_GBK" w:eastAsia="方正小标宋_GBK" w:cs="方正小标宋_GBK"/>
          <w:sz w:val="36"/>
          <w:szCs w:val="36"/>
          <w:lang w:eastAsia="zh-CN"/>
        </w:rPr>
        <w:t>届海峡旅游博览会展台搭建</w:t>
      </w:r>
      <w:r>
        <w:rPr>
          <w:rFonts w:hint="eastAsia" w:ascii="方正小标宋_GBK" w:hAnsi="方正小标宋_GBK" w:eastAsia="方正小标宋_GBK" w:cs="方正小标宋_GBK"/>
          <w:sz w:val="36"/>
          <w:szCs w:val="36"/>
        </w:rPr>
        <w:t>评分</w:t>
      </w:r>
      <w:bookmarkEnd w:id="0"/>
      <w:r>
        <w:rPr>
          <w:rFonts w:hint="eastAsia" w:ascii="方正小标宋_GBK" w:hAnsi="方正小标宋_GBK" w:eastAsia="方正小标宋_GBK" w:cs="方正小标宋_GBK"/>
          <w:sz w:val="36"/>
          <w:szCs w:val="36"/>
          <w:lang w:eastAsia="zh-CN"/>
        </w:rPr>
        <w:t>表</w:t>
      </w:r>
      <w:bookmarkEnd w:id="1"/>
    </w:p>
    <w:p w14:paraId="73BAB5AF">
      <w:pPr>
        <w:rPr>
          <w:rFonts w:hint="eastAsia"/>
          <w:lang w:eastAsia="zh-CN"/>
        </w:rPr>
      </w:pPr>
    </w:p>
    <w:tbl>
      <w:tblPr>
        <w:tblStyle w:val="4"/>
        <w:tblW w:w="9033" w:type="dxa"/>
        <w:jc w:val="center"/>
        <w:tblLayout w:type="fixed"/>
        <w:tblCellMar>
          <w:top w:w="0" w:type="dxa"/>
          <w:left w:w="0" w:type="dxa"/>
          <w:bottom w:w="0" w:type="dxa"/>
          <w:right w:w="0" w:type="dxa"/>
        </w:tblCellMar>
      </w:tblPr>
      <w:tblGrid>
        <w:gridCol w:w="696"/>
        <w:gridCol w:w="655"/>
        <w:gridCol w:w="814"/>
        <w:gridCol w:w="6868"/>
      </w:tblGrid>
      <w:tr w14:paraId="01AC2735">
        <w:tblPrEx>
          <w:tblCellMar>
            <w:top w:w="0" w:type="dxa"/>
            <w:left w:w="0" w:type="dxa"/>
            <w:bottom w:w="0" w:type="dxa"/>
            <w:right w:w="0" w:type="dxa"/>
          </w:tblCellMar>
        </w:tblPrEx>
        <w:trPr>
          <w:trHeight w:val="623"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8C79D">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序号</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854D7">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标准分</w:t>
            </w:r>
          </w:p>
        </w:tc>
        <w:tc>
          <w:tcPr>
            <w:tcW w:w="6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10B04">
            <w:pPr>
              <w:keepNext w:val="0"/>
              <w:keepLines w:val="0"/>
              <w:pageBreakBefore w:val="0"/>
              <w:widowControl w:val="0"/>
              <w:kinsoku/>
              <w:wordWrap/>
              <w:overflowPunct/>
              <w:topLinePunct w:val="0"/>
              <w:autoSpaceDE w:val="0"/>
              <w:autoSpaceDN w:val="0"/>
              <w:bidi w:val="0"/>
              <w:adjustRightInd w:val="0"/>
              <w:snapToGrid/>
              <w:spacing w:line="520" w:lineRule="exact"/>
              <w:ind w:left="3134"/>
              <w:jc w:val="both"/>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评分标准</w:t>
            </w:r>
          </w:p>
        </w:tc>
      </w:tr>
      <w:tr w14:paraId="7B343B31">
        <w:tblPrEx>
          <w:tblCellMar>
            <w:top w:w="0" w:type="dxa"/>
            <w:left w:w="0" w:type="dxa"/>
            <w:bottom w:w="0" w:type="dxa"/>
            <w:right w:w="0" w:type="dxa"/>
          </w:tblCellMar>
        </w:tblPrEx>
        <w:trPr>
          <w:trHeight w:val="24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9784D">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20816">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投标</w:t>
            </w:r>
            <w:r>
              <w:rPr>
                <w:rFonts w:hint="default" w:ascii="Times New Roman" w:hAnsi="Times New Roman" w:eastAsia="仿宋" w:cs="Times New Roman"/>
                <w:color w:val="000000"/>
                <w:kern w:val="0"/>
                <w:sz w:val="24"/>
                <w:szCs w:val="24"/>
              </w:rPr>
              <w:t>报价</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EE009">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10分</w:t>
            </w:r>
          </w:p>
        </w:tc>
        <w:tc>
          <w:tcPr>
            <w:tcW w:w="6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9BDDE">
            <w:pPr>
              <w:keepNext w:val="0"/>
              <w:keepLines w:val="0"/>
              <w:pageBreakBefore w:val="0"/>
              <w:widowControl w:val="0"/>
              <w:kinsoku/>
              <w:wordWrap/>
              <w:overflowPunct/>
              <w:topLinePunct w:val="0"/>
              <w:autoSpaceDE w:val="0"/>
              <w:autoSpaceDN w:val="0"/>
              <w:bidi w:val="0"/>
              <w:adjustRightInd w:val="0"/>
              <w:snapToGrid/>
              <w:spacing w:line="400" w:lineRule="exact"/>
              <w:ind w:left="0" w:firstLine="480" w:firstLineChars="200"/>
              <w:jc w:val="both"/>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val="en-US" w:eastAsia="zh-CN"/>
              </w:rPr>
              <w:t>评标</w:t>
            </w:r>
            <w:r>
              <w:rPr>
                <w:rFonts w:hint="default" w:ascii="Times New Roman" w:hAnsi="Times New Roman" w:eastAsia="仿宋" w:cs="Times New Roman"/>
                <w:color w:val="000000"/>
                <w:kern w:val="0"/>
                <w:sz w:val="24"/>
                <w:szCs w:val="24"/>
                <w:lang w:eastAsia="zh-CN"/>
              </w:rPr>
              <w:t>基准价是指满足招标文件要求且投标价格最低的投标报价。除低于成本价的投标报价被拒绝外，最低报价得10分。</w:t>
            </w:r>
          </w:p>
          <w:p w14:paraId="30637FAD">
            <w:pPr>
              <w:keepNext w:val="0"/>
              <w:keepLines w:val="0"/>
              <w:pageBreakBefore w:val="0"/>
              <w:widowControl w:val="0"/>
              <w:kinsoku/>
              <w:wordWrap/>
              <w:overflowPunct/>
              <w:topLinePunct w:val="0"/>
              <w:autoSpaceDE w:val="0"/>
              <w:autoSpaceDN w:val="0"/>
              <w:bidi w:val="0"/>
              <w:adjustRightInd w:val="0"/>
              <w:snapToGrid/>
              <w:spacing w:line="400" w:lineRule="exact"/>
              <w:ind w:left="0" w:firstLine="480" w:firstLineChars="200"/>
              <w:jc w:val="both"/>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其他投标人的价格分统一按照下列公式计算：投标报价得分=（评标基准价/投标报价）×10。</w:t>
            </w:r>
          </w:p>
          <w:p w14:paraId="5261A097">
            <w:pPr>
              <w:keepNext w:val="0"/>
              <w:keepLines w:val="0"/>
              <w:pageBreakBefore w:val="0"/>
              <w:widowControl w:val="0"/>
              <w:kinsoku/>
              <w:wordWrap/>
              <w:overflowPunct/>
              <w:topLinePunct w:val="0"/>
              <w:bidi w:val="0"/>
              <w:snapToGrid/>
              <w:spacing w:line="400" w:lineRule="exact"/>
              <w:ind w:left="0"/>
              <w:textAlignment w:val="auto"/>
              <w:rPr>
                <w:rFonts w:hint="eastAsia" w:ascii="方正小标宋_GBK" w:hAnsi="方正小标宋_GBK" w:eastAsia="方正小标宋_GBK" w:cs="方正小标宋_GBK"/>
                <w:sz w:val="36"/>
                <w:szCs w:val="36"/>
                <w:lang w:eastAsia="zh-CN"/>
              </w:rPr>
            </w:pPr>
            <w:r>
              <w:rPr>
                <w:rFonts w:hint="default" w:ascii="Times New Roman" w:hAnsi="Times New Roman" w:eastAsia="仿宋" w:cs="Times New Roman"/>
                <w:color w:val="000000"/>
                <w:kern w:val="0"/>
                <w:sz w:val="24"/>
                <w:szCs w:val="24"/>
                <w:lang w:eastAsia="zh-CN"/>
              </w:rPr>
              <w:t>对于高于项目预算金额的投标报价不予接受，视为无效投标。注：计算分数时四舍五入取小数点后两位。</w:t>
            </w:r>
          </w:p>
          <w:p w14:paraId="3A80A682">
            <w:pPr>
              <w:pStyle w:val="6"/>
              <w:keepNext w:val="0"/>
              <w:keepLines w:val="0"/>
              <w:pageBreakBefore w:val="0"/>
              <w:widowControl w:val="0"/>
              <w:kinsoku/>
              <w:wordWrap/>
              <w:overflowPunct/>
              <w:topLinePunct w:val="0"/>
              <w:bidi w:val="0"/>
              <w:snapToGrid/>
              <w:spacing w:line="400" w:lineRule="exact"/>
              <w:ind w:left="0"/>
              <w:textAlignment w:val="auto"/>
              <w:rPr>
                <w:rFonts w:ascii="华文楷体" w:hAnsi="华文楷体" w:eastAsia="华文楷体" w:cs="华文楷体"/>
                <w:sz w:val="32"/>
                <w:szCs w:val="32"/>
              </w:rPr>
            </w:pPr>
          </w:p>
          <w:p w14:paraId="015EB0CE">
            <w:pPr>
              <w:keepNext w:val="0"/>
              <w:keepLines w:val="0"/>
              <w:pageBreakBefore w:val="0"/>
              <w:widowControl w:val="0"/>
              <w:kinsoku/>
              <w:wordWrap/>
              <w:overflowPunct/>
              <w:topLinePunct w:val="0"/>
              <w:autoSpaceDE w:val="0"/>
              <w:autoSpaceDN w:val="0"/>
              <w:bidi w:val="0"/>
              <w:adjustRightInd w:val="0"/>
              <w:snapToGrid/>
              <w:spacing w:line="520" w:lineRule="exact"/>
              <w:ind w:left="586" w:leftChars="279" w:firstLine="0" w:firstLineChars="0"/>
              <w:jc w:val="both"/>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br w:type="textWrapping"/>
            </w:r>
            <w:r>
              <w:rPr>
                <w:rFonts w:hint="default" w:ascii="Times New Roman" w:hAnsi="Times New Roman" w:eastAsia="仿宋" w:cs="Times New Roman"/>
                <w:color w:val="000000"/>
                <w:kern w:val="0"/>
                <w:sz w:val="24"/>
                <w:szCs w:val="24"/>
              </w:rPr>
              <w:t>。</w:t>
            </w:r>
          </w:p>
        </w:tc>
      </w:tr>
      <w:tr w14:paraId="7421E0A8">
        <w:tblPrEx>
          <w:tblCellMar>
            <w:top w:w="0" w:type="dxa"/>
            <w:left w:w="0" w:type="dxa"/>
            <w:bottom w:w="0" w:type="dxa"/>
            <w:right w:w="0" w:type="dxa"/>
          </w:tblCellMar>
        </w:tblPrEx>
        <w:trPr>
          <w:trHeight w:val="1658"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5E252">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FF4BA">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类似业绩</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1F375">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10分</w:t>
            </w:r>
          </w:p>
        </w:tc>
        <w:tc>
          <w:tcPr>
            <w:tcW w:w="686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F0CFC80">
            <w:pPr>
              <w:keepNext w:val="0"/>
              <w:keepLines w:val="0"/>
              <w:pageBreakBefore w:val="0"/>
              <w:widowControl w:val="0"/>
              <w:kinsoku/>
              <w:wordWrap/>
              <w:overflowPunct/>
              <w:topLinePunct w:val="0"/>
              <w:bidi w:val="0"/>
              <w:snapToGrid/>
              <w:spacing w:line="400" w:lineRule="exact"/>
              <w:ind w:left="0" w:firstLine="480" w:firstLineChars="20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近三年（2023年至今）每有一项同类项目业绩的得2分，得够标准分为止。</w:t>
            </w:r>
          </w:p>
          <w:p w14:paraId="710140B3">
            <w:pPr>
              <w:keepNext w:val="0"/>
              <w:keepLines w:val="0"/>
              <w:pageBreakBefore w:val="0"/>
              <w:widowControl w:val="0"/>
              <w:kinsoku/>
              <w:wordWrap/>
              <w:overflowPunct/>
              <w:topLinePunct w:val="0"/>
              <w:bidi w:val="0"/>
              <w:snapToGrid/>
              <w:spacing w:line="400" w:lineRule="exact"/>
              <w:ind w:left="0" w:firstLine="480" w:firstLineChars="200"/>
              <w:textAlignment w:val="auto"/>
              <w:rPr>
                <w:rFonts w:hint="eastAsia" w:ascii="方正小标宋_GBK" w:hAnsi="方正小标宋_GBK" w:eastAsia="方正小标宋_GBK" w:cs="方正小标宋_GBK"/>
                <w:sz w:val="36"/>
                <w:szCs w:val="36"/>
                <w:lang w:eastAsia="zh-CN"/>
              </w:rPr>
            </w:pPr>
            <w:r>
              <w:rPr>
                <w:rFonts w:hint="default" w:ascii="Times New Roman" w:hAnsi="Times New Roman" w:eastAsia="仿宋" w:cs="Times New Roman"/>
                <w:color w:val="000000"/>
                <w:kern w:val="0"/>
                <w:sz w:val="24"/>
                <w:szCs w:val="24"/>
                <w:lang w:eastAsia="zh-CN"/>
              </w:rPr>
              <w:t>备注：须在投标文件正副本中附中标通知书复印件或合同复印件并加盖投标单位鲜章，未按要求提供的或者提供不全的不得分。</w:t>
            </w:r>
          </w:p>
          <w:p w14:paraId="5BBE87C4">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000000"/>
                <w:kern w:val="0"/>
                <w:sz w:val="24"/>
                <w:szCs w:val="24"/>
              </w:rPr>
            </w:pPr>
          </w:p>
        </w:tc>
      </w:tr>
      <w:tr w14:paraId="26D76A69">
        <w:tblPrEx>
          <w:tblCellMar>
            <w:top w:w="0" w:type="dxa"/>
            <w:left w:w="0" w:type="dxa"/>
            <w:bottom w:w="0" w:type="dxa"/>
            <w:right w:w="0" w:type="dxa"/>
          </w:tblCellMar>
        </w:tblPrEx>
        <w:trPr>
          <w:trHeight w:val="6430" w:hRule="exact"/>
          <w:jc w:val="center"/>
        </w:trPr>
        <w:tc>
          <w:tcPr>
            <w:tcW w:w="696"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2A642DDC">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3</w:t>
            </w:r>
          </w:p>
        </w:tc>
        <w:tc>
          <w:tcPr>
            <w:tcW w:w="65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EB8ED4D">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展台设计</w:t>
            </w:r>
          </w:p>
        </w:tc>
        <w:tc>
          <w:tcPr>
            <w:tcW w:w="81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8B13AEC">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val="en-US" w:eastAsia="zh-CN"/>
              </w:rPr>
              <w:t>36</w:t>
            </w:r>
            <w:r>
              <w:rPr>
                <w:rFonts w:hint="default" w:ascii="Times New Roman" w:hAnsi="Times New Roman" w:eastAsia="仿宋" w:cs="Times New Roman"/>
                <w:color w:val="000000"/>
                <w:kern w:val="0"/>
                <w:sz w:val="24"/>
                <w:szCs w:val="24"/>
              </w:rPr>
              <w:t>分</w:t>
            </w:r>
          </w:p>
        </w:tc>
        <w:tc>
          <w:tcPr>
            <w:tcW w:w="68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79539A">
            <w:pPr>
              <w:keepNext w:val="0"/>
              <w:keepLines w:val="0"/>
              <w:pageBreakBefore w:val="0"/>
              <w:widowControl w:val="0"/>
              <w:kinsoku/>
              <w:wordWrap/>
              <w:overflowPunct/>
              <w:topLinePunct w:val="0"/>
              <w:bidi w:val="0"/>
              <w:snapToGrid/>
              <w:spacing w:line="400" w:lineRule="exact"/>
              <w:ind w:left="0" w:firstLine="480" w:firstLineChars="20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主题契合度（12分）：完全紧扣“塞上江南・神奇宁夏・星星故乡”，充分展现沙漠、黄河、绿洲、星空、古色底蕴、紫色葡园等核心文旅元素，辨识度极强，得12分；主题贴合度较好，核心元素基本体现，辨识度良好，得8分；主题贴合一般，元素呈现不足，辨识度较弱，得4分；主题偏离、无宁夏文旅特色，得0分。</w:t>
            </w:r>
          </w:p>
          <w:p w14:paraId="75E97350">
            <w:pPr>
              <w:keepNext w:val="0"/>
              <w:keepLines w:val="0"/>
              <w:pageBreakBefore w:val="0"/>
              <w:widowControl w:val="0"/>
              <w:kinsoku/>
              <w:wordWrap/>
              <w:overflowPunct/>
              <w:topLinePunct w:val="0"/>
              <w:bidi w:val="0"/>
              <w:snapToGrid/>
              <w:spacing w:line="400" w:lineRule="exact"/>
              <w:ind w:left="0" w:firstLine="480" w:firstLineChars="20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功能分区（12分）：完整设置形象展示、合作洽谈、产品展销、非遗互动四大功能区，布局科学、动线流畅、使用高效，得12分；四大功能区齐全，布局基本合理，动线较顺畅，得8分；缺1个功能区，或布局混乱、动线不畅，得4分；缺2个及以上功能区，无合理分区，得0分。</w:t>
            </w:r>
          </w:p>
          <w:p w14:paraId="3D9E4BCE">
            <w:pPr>
              <w:keepNext w:val="0"/>
              <w:keepLines w:val="0"/>
              <w:pageBreakBefore w:val="0"/>
              <w:widowControl w:val="0"/>
              <w:kinsoku/>
              <w:wordWrap/>
              <w:overflowPunct/>
              <w:topLinePunct w:val="0"/>
              <w:bidi w:val="0"/>
              <w:snapToGrid/>
              <w:spacing w:line="400" w:lineRule="exact"/>
              <w:ind w:left="0" w:firstLine="480" w:firstLineChars="200"/>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视觉效果与互动性（12分）：视觉冲击力强、创意新颖、质感高级；互动体验设计丰富、贴合展会场景，吸引力突出，得12分；视觉效果良好、创意一般；有互动设计，基本满足展示需求，得8分；视觉普通、无亮点；互动简单或不足，吸引力弱，得4分；视觉简陋、无创意；无互动设计，得0分。</w:t>
            </w:r>
          </w:p>
        </w:tc>
      </w:tr>
      <w:tr w14:paraId="6DA4A4F1">
        <w:tblPrEx>
          <w:tblCellMar>
            <w:top w:w="0" w:type="dxa"/>
            <w:left w:w="0" w:type="dxa"/>
            <w:bottom w:w="0" w:type="dxa"/>
            <w:right w:w="0" w:type="dxa"/>
          </w:tblCellMar>
        </w:tblPrEx>
        <w:trPr>
          <w:cantSplit/>
          <w:trHeight w:val="4886" w:hRule="exact"/>
          <w:jc w:val="center"/>
        </w:trPr>
        <w:tc>
          <w:tcPr>
            <w:tcW w:w="696"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32F4FE98">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4</w:t>
            </w:r>
          </w:p>
        </w:tc>
        <w:tc>
          <w:tcPr>
            <w:tcW w:w="65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B34F091">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现场搭建执行</w:t>
            </w:r>
          </w:p>
        </w:tc>
        <w:tc>
          <w:tcPr>
            <w:tcW w:w="81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17D154F">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eastAsia" w:eastAsia="仿宋" w:cs="Times New Roman"/>
                <w:color w:val="000000"/>
                <w:kern w:val="0"/>
                <w:sz w:val="24"/>
                <w:szCs w:val="24"/>
                <w:lang w:val="en-US" w:eastAsia="zh-CN"/>
              </w:rPr>
              <w:t>29</w:t>
            </w:r>
            <w:r>
              <w:rPr>
                <w:rFonts w:hint="default" w:ascii="Times New Roman" w:hAnsi="Times New Roman" w:eastAsia="仿宋" w:cs="Times New Roman"/>
                <w:color w:val="000000"/>
                <w:kern w:val="0"/>
                <w:sz w:val="24"/>
                <w:szCs w:val="24"/>
              </w:rPr>
              <w:t>分</w:t>
            </w:r>
          </w:p>
        </w:tc>
        <w:tc>
          <w:tcPr>
            <w:tcW w:w="6868" w:type="dxa"/>
            <w:tcBorders>
              <w:top w:val="single" w:color="auto" w:sz="4" w:space="0"/>
              <w:left w:val="single" w:color="000000" w:sz="4" w:space="0"/>
              <w:right w:val="single" w:color="000000" w:sz="4" w:space="0"/>
            </w:tcBorders>
            <w:shd w:val="clear" w:color="auto" w:fill="FFFFFF"/>
            <w:noWrap w:val="0"/>
            <w:vAlign w:val="center"/>
          </w:tcPr>
          <w:p w14:paraId="02C57CB4">
            <w:pPr>
              <w:keepNext w:val="0"/>
              <w:keepLines w:val="0"/>
              <w:pageBreakBefore w:val="0"/>
              <w:widowControl w:val="0"/>
              <w:kinsoku/>
              <w:wordWrap/>
              <w:overflowPunct/>
              <w:topLinePunct w:val="0"/>
              <w:bidi w:val="0"/>
              <w:snapToGrid/>
              <w:spacing w:line="400" w:lineRule="exact"/>
              <w:ind w:left="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1.供应商具备展台搭建/展览展示工程相关专业资质并提供清晰有效证明文件，且针对工程质量、工期进度、安全管理及文明施工制定具体、可行的保障措施，得4分；未提供资质证明文件，或保障措施缺失/空洞的，本项得0分。</w:t>
            </w:r>
          </w:p>
          <w:p w14:paraId="3A7655B8">
            <w:pPr>
              <w:keepNext w:val="0"/>
              <w:keepLines w:val="0"/>
              <w:pageBreakBefore w:val="0"/>
              <w:widowControl w:val="0"/>
              <w:kinsoku/>
              <w:wordWrap/>
              <w:overflowPunct/>
              <w:topLinePunct w:val="0"/>
              <w:bidi w:val="0"/>
              <w:snapToGrid/>
              <w:spacing w:line="400" w:lineRule="exact"/>
              <w:ind w:left="0"/>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2.根据现场搭建执行方案，人员、车辆安排合理有序，能够全面满足采购需求及展会要求得25分；搭建执行方案人员、车辆安排合理，能够满足采购需求及展会要求的得15分；搭建执行方案有人员、车辆安排，能基本满足采购需求及展会要求的得5分；未提供不得分。</w:t>
            </w:r>
          </w:p>
        </w:tc>
      </w:tr>
      <w:tr w14:paraId="3A32F0C3">
        <w:tblPrEx>
          <w:tblCellMar>
            <w:top w:w="0" w:type="dxa"/>
            <w:left w:w="0" w:type="dxa"/>
            <w:bottom w:w="0" w:type="dxa"/>
            <w:right w:w="0" w:type="dxa"/>
          </w:tblCellMar>
        </w:tblPrEx>
        <w:trPr>
          <w:trHeight w:val="5888"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ADDEA">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eastAsia"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5</w:t>
            </w:r>
          </w:p>
        </w:tc>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21C6B">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服务保障</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11B16">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0" w:firstLineChars="0"/>
              <w:jc w:val="center"/>
              <w:textAlignment w:val="auto"/>
              <w:rPr>
                <w:rFonts w:hint="default" w:ascii="Times New Roman" w:hAnsi="Times New Roman" w:eastAsia="仿宋" w:cs="Times New Roman"/>
                <w:color w:val="000000"/>
                <w:kern w:val="0"/>
                <w:sz w:val="24"/>
                <w:szCs w:val="24"/>
                <w:lang w:val="en-US" w:eastAsia="zh-CN"/>
              </w:rPr>
            </w:pPr>
            <w:r>
              <w:rPr>
                <w:rFonts w:hint="eastAsia" w:eastAsia="仿宋" w:cs="Times New Roman"/>
                <w:color w:val="000000"/>
                <w:kern w:val="0"/>
                <w:sz w:val="24"/>
                <w:szCs w:val="24"/>
                <w:lang w:val="en-US" w:eastAsia="zh-CN"/>
              </w:rPr>
              <w:t>15</w:t>
            </w:r>
            <w:r>
              <w:rPr>
                <w:rFonts w:hint="default" w:ascii="Times New Roman" w:hAnsi="Times New Roman" w:eastAsia="仿宋" w:cs="Times New Roman"/>
                <w:color w:val="000000"/>
                <w:kern w:val="0"/>
                <w:sz w:val="24"/>
                <w:szCs w:val="24"/>
                <w:lang w:val="en-US" w:eastAsia="zh-CN"/>
              </w:rPr>
              <w:t>分</w:t>
            </w:r>
          </w:p>
        </w:tc>
        <w:tc>
          <w:tcPr>
            <w:tcW w:w="68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7B530">
            <w:pPr>
              <w:keepNext w:val="0"/>
              <w:keepLines w:val="0"/>
              <w:pageBreakBefore w:val="0"/>
              <w:widowControl w:val="0"/>
              <w:kinsoku/>
              <w:wordWrap/>
              <w:overflowPunct/>
              <w:topLinePunct w:val="0"/>
              <w:bidi w:val="0"/>
              <w:snapToGrid/>
              <w:spacing w:line="400" w:lineRule="exact"/>
              <w:ind w:left="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展会现场值守（5分）：承诺展会期间全程安排专业人员驻场值守，及时处理展台故障、物料补充、设备调试等问题，得5分；仅承诺部分时段值守，或无明确值守人员安排，得3分；未提及现场值守服务，得0分。</w:t>
            </w:r>
          </w:p>
          <w:p w14:paraId="10252E61">
            <w:pPr>
              <w:keepNext w:val="0"/>
              <w:keepLines w:val="0"/>
              <w:pageBreakBefore w:val="0"/>
              <w:widowControl w:val="0"/>
              <w:kinsoku/>
              <w:wordWrap/>
              <w:overflowPunct/>
              <w:topLinePunct w:val="0"/>
              <w:bidi w:val="0"/>
              <w:snapToGrid/>
              <w:spacing w:line="400" w:lineRule="exact"/>
              <w:ind w:left="0"/>
              <w:textAlignment w:val="auto"/>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lang w:eastAsia="zh-CN"/>
              </w:rPr>
              <w:t>应急处置（5分）：针对展台结构损坏、用电故障、物料破损、突发维修等展会常见问题，制定完善的应急处理预案，明确应急响应时间、处理流程及责任人，得5分；有应急预案但内容简单，响应时间/流程未明确，得3分；无任何应急处置预案，得0分。</w:t>
            </w:r>
          </w:p>
          <w:p w14:paraId="2D70A3B7">
            <w:pPr>
              <w:keepNext w:val="0"/>
              <w:keepLines w:val="0"/>
              <w:pageBreakBefore w:val="0"/>
              <w:widowControl w:val="0"/>
              <w:kinsoku/>
              <w:wordWrap/>
              <w:overflowPunct/>
              <w:topLinePunct w:val="0"/>
              <w:bidi w:val="0"/>
              <w:snapToGrid/>
              <w:spacing w:line="400" w:lineRule="exact"/>
              <w:ind w:left="0"/>
              <w:textAlignment w:val="auto"/>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lang w:eastAsia="zh-CN"/>
              </w:rPr>
              <w:t>撤展与质保（5分）：承诺按展会要求按时完成撤展、全面清理展台现场无物料遗留，得5分；撤展保障服务内容缺失，或相关承诺不明确，得3分；未提及撤展保障，得0分。</w:t>
            </w:r>
          </w:p>
        </w:tc>
      </w:tr>
    </w:tbl>
    <w:p w14:paraId="698CA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87D7D"/>
    <w:rsid w:val="55F87D7D"/>
    <w:rsid w:val="67B9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120" w:afterLines="0" w:line="312" w:lineRule="atLeast"/>
    </w:pPr>
    <w:rPr>
      <w:kern w:val="0"/>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customStyle="1" w:styleId="6">
    <w:name w:val="Default"/>
    <w:next w:val="1"/>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2026-04-22T09:58:00Z</dcterms:created>
  <dc:creator>serein.</dc:creator>
  <cp:lastModifiedBy>serein.</cp:lastModifiedBy>
  <dcterms:modified xsi:type="dcterms:W3CDTF">2026-04-22T09:58:59Z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9137E207A00A43269071186061DEEEEE_13</vt:lpwstr>
  </property>
  <property fmtid="{D5CDD505-2E9C-101B-9397-08002B2CF9AE}" pid="4" name="KSOTemplateDocerSaveRecord">
    <vt:lpwstr>eyJoZGlkIjoiZTQ3MjRkMzc1ZTIzZTJlMTYyYWY4MTdiZWVmMTc4OTMiLCJ1c2VySWQiOiIxMTMyNTc1NDc3In0=</vt:lpwstr>
  </property>
</Properties>
</file>