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D43AC">
      <w:pPr>
        <w:autoSpaceDE w:val="0"/>
        <w:autoSpaceDN w:val="0"/>
        <w:adjustRightInd w:val="0"/>
        <w:snapToGrid w:val="0"/>
        <w:spacing w:line="560" w:lineRule="exact"/>
        <w:jc w:val="center"/>
        <w:outlineLvl w:val="0"/>
        <w:rPr>
          <w:rFonts w:hint="eastAsia" w:ascii="仿宋" w:hAnsi="仿宋" w:eastAsia="仿宋" w:cs="仿宋"/>
          <w:b/>
          <w:bCs/>
          <w:color w:val="auto"/>
          <w:sz w:val="36"/>
          <w:szCs w:val="36"/>
        </w:rPr>
      </w:pPr>
      <w:bookmarkStart w:id="0" w:name="_Toc195921851"/>
      <w:bookmarkStart w:id="1" w:name="_Toc18662"/>
      <w:bookmarkStart w:id="2" w:name="_Toc4942"/>
      <w:bookmarkStart w:id="3" w:name="_Toc29029"/>
      <w:bookmarkStart w:id="4" w:name="_Toc14947"/>
      <w:bookmarkStart w:id="5" w:name="_Toc2059"/>
      <w:bookmarkStart w:id="6" w:name="_Toc29964"/>
      <w:r>
        <w:rPr>
          <w:rFonts w:hint="eastAsia" w:ascii="仿宋" w:hAnsi="仿宋" w:eastAsia="仿宋" w:cs="仿宋"/>
          <w:b/>
          <w:bCs/>
          <w:color w:val="auto"/>
          <w:kern w:val="0"/>
          <w:sz w:val="36"/>
          <w:szCs w:val="36"/>
        </w:rPr>
        <w:t xml:space="preserve"> </w:t>
      </w:r>
      <w:bookmarkStart w:id="7" w:name="_GoBack"/>
      <w:r>
        <w:rPr>
          <w:rFonts w:hint="eastAsia" w:ascii="仿宋" w:hAnsi="仿宋" w:eastAsia="仿宋" w:cs="仿宋"/>
          <w:b/>
          <w:bCs/>
          <w:color w:val="auto"/>
          <w:kern w:val="0"/>
          <w:sz w:val="36"/>
          <w:szCs w:val="36"/>
        </w:rPr>
        <w:t>资格审查、评标办法</w:t>
      </w:r>
      <w:bookmarkEnd w:id="0"/>
      <w:r>
        <w:rPr>
          <w:rFonts w:hint="eastAsia" w:ascii="仿宋" w:hAnsi="仿宋" w:eastAsia="仿宋" w:cs="仿宋"/>
          <w:b/>
          <w:bCs/>
          <w:color w:val="auto"/>
          <w:kern w:val="0"/>
          <w:sz w:val="36"/>
          <w:szCs w:val="36"/>
        </w:rPr>
        <w:t>和标准</w:t>
      </w:r>
      <w:bookmarkEnd w:id="7"/>
      <w:bookmarkEnd w:id="1"/>
      <w:bookmarkEnd w:id="2"/>
      <w:bookmarkEnd w:id="3"/>
      <w:bookmarkEnd w:id="4"/>
      <w:bookmarkEnd w:id="5"/>
      <w:bookmarkEnd w:id="6"/>
    </w:p>
    <w:p w14:paraId="72AB4C93">
      <w:pPr>
        <w:pStyle w:val="6"/>
        <w:spacing w:line="560" w:lineRule="exact"/>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评标委员会将按照本项目招标文件进行评标工作，采购人或者采购代理机构负责评标的组织工作。工作程序如下：</w:t>
      </w:r>
    </w:p>
    <w:p w14:paraId="15E51EAF">
      <w:pPr>
        <w:pStyle w:val="6"/>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一、评标准备工作，由采购人或者采购代理机构负责</w:t>
      </w:r>
    </w:p>
    <w:p w14:paraId="2F27ECBA">
      <w:pPr>
        <w:pStyle w:val="6"/>
        <w:spacing w:line="560" w:lineRule="exact"/>
        <w:ind w:firstLine="218" w:firstLineChars="78"/>
        <w:rPr>
          <w:rFonts w:hint="eastAsia" w:ascii="仿宋" w:hAnsi="仿宋" w:eastAsia="仿宋" w:cs="仿宋"/>
          <w:color w:val="auto"/>
          <w:sz w:val="28"/>
          <w:szCs w:val="28"/>
        </w:rPr>
      </w:pPr>
      <w:r>
        <w:rPr>
          <w:rFonts w:hint="eastAsia" w:ascii="仿宋" w:hAnsi="仿宋" w:eastAsia="仿宋" w:cs="仿宋"/>
          <w:color w:val="auto"/>
          <w:sz w:val="28"/>
          <w:szCs w:val="28"/>
        </w:rPr>
        <w:t>1.核对评审专家身份和采购人代表授权函；</w:t>
      </w:r>
    </w:p>
    <w:p w14:paraId="492805DC">
      <w:pPr>
        <w:pStyle w:val="6"/>
        <w:spacing w:line="560" w:lineRule="exact"/>
        <w:ind w:firstLine="218" w:firstLineChars="78"/>
        <w:rPr>
          <w:rFonts w:hint="eastAsia" w:ascii="仿宋" w:hAnsi="仿宋" w:eastAsia="仿宋" w:cs="仿宋"/>
          <w:color w:val="auto"/>
          <w:sz w:val="28"/>
          <w:szCs w:val="28"/>
        </w:rPr>
      </w:pPr>
      <w:r>
        <w:rPr>
          <w:rFonts w:hint="eastAsia" w:ascii="仿宋" w:hAnsi="仿宋" w:eastAsia="仿宋" w:cs="仿宋"/>
          <w:color w:val="auto"/>
          <w:sz w:val="28"/>
          <w:szCs w:val="28"/>
        </w:rPr>
        <w:t>2.宣布评标纪律，集中保管通讯工具；</w:t>
      </w:r>
    </w:p>
    <w:p w14:paraId="74293A53">
      <w:pPr>
        <w:pStyle w:val="6"/>
        <w:spacing w:line="560" w:lineRule="exact"/>
        <w:ind w:firstLine="218" w:firstLineChars="78"/>
        <w:rPr>
          <w:rFonts w:hint="eastAsia" w:ascii="仿宋" w:hAnsi="仿宋" w:eastAsia="仿宋" w:cs="仿宋"/>
          <w:color w:val="auto"/>
          <w:sz w:val="28"/>
          <w:szCs w:val="28"/>
        </w:rPr>
      </w:pPr>
      <w:r>
        <w:rPr>
          <w:rFonts w:hint="eastAsia" w:ascii="仿宋" w:hAnsi="仿宋" w:eastAsia="仿宋" w:cs="仿宋"/>
          <w:color w:val="auto"/>
          <w:sz w:val="28"/>
          <w:szCs w:val="28"/>
        </w:rPr>
        <w:t>3.公布投标人名单，告知评审专家应当回避的情形；</w:t>
      </w:r>
    </w:p>
    <w:p w14:paraId="092461D2">
      <w:pPr>
        <w:pStyle w:val="6"/>
        <w:widowControl/>
        <w:spacing w:line="560" w:lineRule="exact"/>
        <w:ind w:firstLine="218" w:firstLineChars="78"/>
        <w:rPr>
          <w:rFonts w:hint="eastAsia" w:ascii="仿宋" w:hAnsi="仿宋" w:eastAsia="仿宋" w:cs="仿宋"/>
          <w:color w:val="auto"/>
          <w:sz w:val="28"/>
          <w:szCs w:val="28"/>
        </w:rPr>
      </w:pPr>
      <w:r>
        <w:rPr>
          <w:rFonts w:hint="eastAsia" w:ascii="仿宋" w:hAnsi="仿宋" w:eastAsia="仿宋" w:cs="仿宋"/>
          <w:color w:val="auto"/>
          <w:sz w:val="28"/>
          <w:szCs w:val="28"/>
        </w:rPr>
        <w:t>4.组织评标委员会推选评标组长，采购人代表不得担任组长；</w:t>
      </w:r>
    </w:p>
    <w:p w14:paraId="646DBB6C">
      <w:pPr>
        <w:pStyle w:val="6"/>
        <w:spacing w:line="560" w:lineRule="exact"/>
        <w:ind w:firstLine="218" w:firstLineChars="78"/>
        <w:rPr>
          <w:rFonts w:hint="eastAsia" w:ascii="仿宋" w:hAnsi="仿宋" w:eastAsia="仿宋" w:cs="仿宋"/>
          <w:color w:val="auto"/>
          <w:sz w:val="28"/>
          <w:szCs w:val="28"/>
        </w:rPr>
      </w:pPr>
      <w:r>
        <w:rPr>
          <w:rFonts w:hint="eastAsia" w:ascii="仿宋" w:hAnsi="仿宋" w:eastAsia="仿宋" w:cs="仿宋"/>
          <w:color w:val="auto"/>
          <w:sz w:val="28"/>
          <w:szCs w:val="28"/>
        </w:rPr>
        <w:t>5.根据评标委员会的要求介绍政府采购相关政策法律、招标文件。</w:t>
      </w:r>
    </w:p>
    <w:p w14:paraId="4D648560">
      <w:pPr>
        <w:pStyle w:val="6"/>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二、符合性审查工作</w:t>
      </w:r>
    </w:p>
    <w:p w14:paraId="39B0F2E2">
      <w:pPr>
        <w:pStyle w:val="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评标委员会开展符合性审查。符合性审查是指依据招标文件的规定，从商务和技术角度对投标文件的有效性和完整性进行审查，以确定是否对招标文件的实质性要求做出响应。</w:t>
      </w:r>
    </w:p>
    <w:p w14:paraId="2A0904C0">
      <w:pPr>
        <w:pStyle w:val="6"/>
        <w:spacing w:line="560" w:lineRule="exact"/>
        <w:ind w:firstLine="218" w:firstLineChars="78"/>
        <w:rPr>
          <w:rFonts w:hint="eastAsia" w:ascii="仿宋" w:hAnsi="仿宋" w:eastAsia="仿宋" w:cs="仿宋"/>
          <w:color w:val="auto"/>
          <w:sz w:val="28"/>
          <w:szCs w:val="28"/>
        </w:rPr>
      </w:pPr>
      <w:r>
        <w:rPr>
          <w:rFonts w:hint="eastAsia" w:ascii="仿宋" w:hAnsi="仿宋" w:eastAsia="仿宋" w:cs="仿宋"/>
          <w:color w:val="auto"/>
          <w:sz w:val="28"/>
          <w:szCs w:val="28"/>
        </w:rPr>
        <w:t>1.要求投标人对投标文件有关事项作出澄清或者说明（如有）；</w:t>
      </w:r>
    </w:p>
    <w:p w14:paraId="1D26CE98">
      <w:pPr>
        <w:pStyle w:val="6"/>
        <w:spacing w:line="560" w:lineRule="exact"/>
        <w:ind w:firstLine="218" w:firstLineChars="78"/>
        <w:rPr>
          <w:rFonts w:hint="eastAsia" w:ascii="仿宋" w:hAnsi="仿宋" w:eastAsia="仿宋" w:cs="仿宋"/>
          <w:color w:val="auto"/>
          <w:sz w:val="28"/>
          <w:szCs w:val="28"/>
        </w:rPr>
      </w:pPr>
      <w:r>
        <w:rPr>
          <w:rFonts w:hint="eastAsia" w:ascii="仿宋" w:hAnsi="仿宋" w:eastAsia="仿宋" w:cs="仿宋"/>
          <w:color w:val="auto"/>
          <w:sz w:val="28"/>
          <w:szCs w:val="28"/>
        </w:rPr>
        <w:t>2.依照招标文件规定的评标程序、方法和标准进行独立评审；</w:t>
      </w:r>
    </w:p>
    <w:p w14:paraId="2955B0DF">
      <w:pPr>
        <w:pStyle w:val="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如本项目评标方法为最低评标价法，评标委员会在审查投标文件满足招标文件全部实质性要求后，按投标报价从低到高顺序确定中标候选人。除了算术修正和落实政府采购政策需进行的价格扣除外，不得对投标人的投标价格进行任何调整。</w:t>
      </w:r>
    </w:p>
    <w:p w14:paraId="620C3739">
      <w:pPr>
        <w:pStyle w:val="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如本项目评标方法为综合评分法，评标委员会对满足招标文件全部实质性要求的投标文件，按照招标文件规定的评审因素的量化指标进行评审打分，以评审得分从高到低顺序确定中标候选人。</w:t>
      </w:r>
    </w:p>
    <w:p w14:paraId="6A9F86F9">
      <w:pPr>
        <w:pStyle w:val="6"/>
        <w:spacing w:line="560" w:lineRule="exact"/>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评标委员会每位成员独立对每个有效投标人的投标文件进行评价、打分；然后汇总每个投标人的得分，计算得分平均值，以平均值由高到低进行排序，按排序顺序推荐中标候选人。分值计算保留小数点后两位，第三位四舍五入。</w:t>
      </w:r>
    </w:p>
    <w:p w14:paraId="11D9441A">
      <w:pPr>
        <w:pStyle w:val="6"/>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三、采购人或者采购代理机构核对评标结果</w:t>
      </w:r>
    </w:p>
    <w:p w14:paraId="2243C5A9">
      <w:pPr>
        <w:pStyle w:val="6"/>
        <w:spacing w:line="56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四、确定中标候选人名单，或者根据采购人委托直接确定中标供应商</w:t>
      </w:r>
    </w:p>
    <w:p w14:paraId="569A64E8">
      <w:pPr>
        <w:pStyle w:val="6"/>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五、评审标准中应考虑下列因素</w:t>
      </w:r>
    </w:p>
    <w:p w14:paraId="3DD05262">
      <w:pPr>
        <w:pStyle w:val="6"/>
        <w:spacing w:line="560" w:lineRule="exact"/>
        <w:ind w:firstLine="281" w:firstLineChars="100"/>
        <w:rPr>
          <w:rFonts w:hint="eastAsia" w:ascii="仿宋" w:hAnsi="仿宋" w:eastAsia="仿宋" w:cs="仿宋"/>
          <w:b/>
          <w:bCs/>
          <w:color w:val="auto"/>
          <w:sz w:val="28"/>
          <w:szCs w:val="28"/>
        </w:rPr>
      </w:pPr>
      <w:r>
        <w:rPr>
          <w:rFonts w:hint="eastAsia" w:ascii="仿宋" w:hAnsi="仿宋" w:eastAsia="仿宋" w:cs="仿宋"/>
          <w:b/>
          <w:bCs/>
          <w:color w:val="auto"/>
          <w:sz w:val="28"/>
          <w:szCs w:val="28"/>
        </w:rPr>
        <w:t>1.政府采购政策要求</w:t>
      </w:r>
    </w:p>
    <w:p w14:paraId="3A2E69A9">
      <w:pPr>
        <w:pStyle w:val="6"/>
        <w:spacing w:line="56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中小企业：</w:t>
      </w:r>
      <w:r>
        <w:rPr>
          <w:rFonts w:hint="eastAsia" w:ascii="仿宋" w:hAnsi="仿宋" w:eastAsia="仿宋" w:cs="仿宋"/>
          <w:color w:val="auto"/>
          <w:sz w:val="28"/>
          <w:szCs w:val="28"/>
          <w:u w:val="single"/>
        </w:rPr>
        <w:t>详见投标人须知前附表</w:t>
      </w:r>
      <w:r>
        <w:rPr>
          <w:rFonts w:hint="eastAsia" w:ascii="仿宋" w:hAnsi="仿宋" w:eastAsia="仿宋" w:cs="仿宋"/>
          <w:b/>
          <w:bCs/>
          <w:color w:val="auto"/>
          <w:sz w:val="28"/>
          <w:szCs w:val="28"/>
          <w:u w:val="single"/>
        </w:rPr>
        <w:t xml:space="preserve"> </w:t>
      </w:r>
    </w:p>
    <w:p w14:paraId="5B805551">
      <w:pPr>
        <w:pStyle w:val="6"/>
        <w:spacing w:line="56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残疾人福利性企业：</w:t>
      </w:r>
      <w:r>
        <w:rPr>
          <w:rFonts w:hint="eastAsia" w:ascii="仿宋" w:hAnsi="仿宋" w:eastAsia="仿宋" w:cs="仿宋"/>
          <w:color w:val="auto"/>
          <w:sz w:val="28"/>
          <w:szCs w:val="28"/>
          <w:u w:val="single"/>
        </w:rPr>
        <w:t>详见投标人须知前附表</w:t>
      </w:r>
    </w:p>
    <w:p w14:paraId="218B2C26">
      <w:pPr>
        <w:pStyle w:val="6"/>
        <w:spacing w:line="56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监狱企业：</w:t>
      </w:r>
      <w:r>
        <w:rPr>
          <w:rFonts w:hint="eastAsia" w:ascii="仿宋" w:hAnsi="仿宋" w:eastAsia="仿宋" w:cs="仿宋"/>
          <w:color w:val="auto"/>
          <w:sz w:val="28"/>
          <w:szCs w:val="28"/>
          <w:u w:val="single"/>
        </w:rPr>
        <w:t>详见投标人须知前附表</w:t>
      </w:r>
    </w:p>
    <w:p w14:paraId="796B90E0">
      <w:pPr>
        <w:pStyle w:val="6"/>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联合体中小微企业协议合同金额占到联合体协议合同总金额30%以上的：</w:t>
      </w:r>
      <w:r>
        <w:rPr>
          <w:rFonts w:hint="eastAsia" w:ascii="仿宋" w:hAnsi="仿宋" w:eastAsia="仿宋" w:cs="仿宋"/>
          <w:b/>
          <w:bCs/>
          <w:color w:val="auto"/>
          <w:sz w:val="28"/>
          <w:szCs w:val="28"/>
          <w:u w:val="single"/>
        </w:rPr>
        <w:t>不接受联合体投标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2AF20A18">
      <w:pPr>
        <w:pStyle w:val="6"/>
        <w:spacing w:line="56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其他政府采购政策要求：</w:t>
      </w:r>
      <w:r>
        <w:rPr>
          <w:rFonts w:hint="eastAsia" w:ascii="仿宋" w:hAnsi="仿宋" w:eastAsia="仿宋" w:cs="仿宋"/>
          <w:color w:val="auto"/>
          <w:sz w:val="28"/>
          <w:szCs w:val="28"/>
          <w:u w:val="single"/>
        </w:rPr>
        <w:t xml:space="preserve">  无  </w:t>
      </w:r>
    </w:p>
    <w:p w14:paraId="66AAEE90">
      <w:pPr>
        <w:pStyle w:val="6"/>
        <w:spacing w:line="560" w:lineRule="exact"/>
        <w:ind w:firstLine="281" w:firstLineChars="100"/>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2.中标候选人并列时的处理方式 </w:t>
      </w:r>
    </w:p>
    <w:p w14:paraId="0649CC6D">
      <w:pPr>
        <w:pStyle w:val="6"/>
        <w:spacing w:line="560" w:lineRule="exact"/>
        <w:ind w:left="-181" w:leftChars="-86" w:firstLine="770" w:firstLineChars="275"/>
        <w:rPr>
          <w:rFonts w:hint="eastAsia" w:ascii="仿宋" w:hAnsi="仿宋" w:eastAsia="仿宋" w:cs="仿宋"/>
          <w:color w:val="auto"/>
          <w:sz w:val="28"/>
          <w:szCs w:val="28"/>
        </w:rPr>
      </w:pPr>
      <w:r>
        <w:rPr>
          <w:rFonts w:hint="eastAsia" w:ascii="仿宋" w:hAnsi="仿宋" w:eastAsia="仿宋" w:cs="仿宋"/>
          <w:color w:val="auto"/>
          <w:sz w:val="28"/>
          <w:szCs w:val="28"/>
        </w:rPr>
        <w:t>采用综合评标法</w:t>
      </w:r>
      <w:r>
        <w:rPr>
          <w:rFonts w:hint="eastAsia" w:ascii="仿宋" w:hAnsi="仿宋" w:eastAsia="仿宋" w:cs="仿宋"/>
          <w:color w:val="auto"/>
          <w:sz w:val="28"/>
          <w:szCs w:val="28"/>
          <w:u w:val="single"/>
        </w:rPr>
        <w:t>：评审得分相同的，按照最后报价由低到高的顺序推荐。评审得分且最后报价相同的，采取随机抽取方式确定中标单位</w:t>
      </w:r>
      <w:r>
        <w:rPr>
          <w:rFonts w:hint="eastAsia" w:ascii="仿宋" w:hAnsi="仿宋" w:eastAsia="仿宋" w:cs="仿宋"/>
          <w:color w:val="auto"/>
          <w:sz w:val="28"/>
          <w:szCs w:val="28"/>
        </w:rPr>
        <w:t>。</w:t>
      </w:r>
    </w:p>
    <w:tbl>
      <w:tblPr>
        <w:tblStyle w:val="14"/>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568"/>
        <w:gridCol w:w="2159"/>
        <w:gridCol w:w="4328"/>
      </w:tblGrid>
      <w:tr w14:paraId="3B60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14:paraId="7034485F">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68" w:type="dxa"/>
            <w:noWrap w:val="0"/>
            <w:vAlign w:val="center"/>
          </w:tcPr>
          <w:p w14:paraId="7D87FA04">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一级目录</w:t>
            </w:r>
          </w:p>
        </w:tc>
        <w:tc>
          <w:tcPr>
            <w:tcW w:w="2159" w:type="dxa"/>
            <w:noWrap w:val="0"/>
            <w:vAlign w:val="center"/>
          </w:tcPr>
          <w:p w14:paraId="6D1A2C0E">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二级目录</w:t>
            </w:r>
          </w:p>
        </w:tc>
        <w:tc>
          <w:tcPr>
            <w:tcW w:w="4328" w:type="dxa"/>
            <w:noWrap w:val="0"/>
            <w:vAlign w:val="top"/>
          </w:tcPr>
          <w:p w14:paraId="5E7F380F">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评审因素</w:t>
            </w:r>
          </w:p>
        </w:tc>
      </w:tr>
      <w:tr w14:paraId="13FA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14:paraId="6FCD0F7D">
            <w:pPr>
              <w:pStyle w:val="20"/>
              <w:spacing w:line="5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568" w:type="dxa"/>
            <w:noWrap w:val="0"/>
            <w:vAlign w:val="center"/>
          </w:tcPr>
          <w:p w14:paraId="1B0282DF">
            <w:pPr>
              <w:pStyle w:val="20"/>
              <w:spacing w:line="5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价格得分</w:t>
            </w:r>
          </w:p>
        </w:tc>
        <w:tc>
          <w:tcPr>
            <w:tcW w:w="2159" w:type="dxa"/>
            <w:noWrap w:val="0"/>
            <w:vAlign w:val="center"/>
          </w:tcPr>
          <w:p w14:paraId="2BA03CED">
            <w:pPr>
              <w:pStyle w:val="20"/>
              <w:spacing w:line="5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价格得分</w:t>
            </w:r>
          </w:p>
          <w:p w14:paraId="525DAE1A">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（10分）</w:t>
            </w:r>
          </w:p>
        </w:tc>
        <w:tc>
          <w:tcPr>
            <w:tcW w:w="4328" w:type="dxa"/>
            <w:noWrap w:val="0"/>
            <w:vAlign w:val="top"/>
          </w:tcPr>
          <w:p w14:paraId="379335EA">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标基准价是指满足采购文件要求且最后报价最低的价格。投标供应商的价格统一按下列公示计算：报价得分=（基准价/最后报价）×</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 评审小组认为投标人的报价明显低于其他通过符合性审查投标人的报价，有可能影响质量或者不能诚信履约的，应当要求其在评审现场合理的时间内提供书面说明，必要时提交相关证明材料；投标人不能证明其报价合理性的，评审小组应当将其作为无效投标（响应）处理。</w:t>
            </w:r>
          </w:p>
        </w:tc>
      </w:tr>
      <w:tr w14:paraId="01C0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863" w:type="dxa"/>
            <w:vMerge w:val="restart"/>
            <w:noWrap w:val="0"/>
            <w:vAlign w:val="center"/>
          </w:tcPr>
          <w:p w14:paraId="6C58952B">
            <w:pPr>
              <w:pStyle w:val="20"/>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568" w:type="dxa"/>
            <w:vMerge w:val="restart"/>
            <w:noWrap w:val="0"/>
            <w:vAlign w:val="center"/>
          </w:tcPr>
          <w:p w14:paraId="4614F347">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商务响应情况</w:t>
            </w:r>
          </w:p>
          <w:p w14:paraId="0C674862">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p>
        </w:tc>
        <w:tc>
          <w:tcPr>
            <w:tcW w:w="2159" w:type="dxa"/>
            <w:noWrap w:val="0"/>
            <w:vAlign w:val="center"/>
          </w:tcPr>
          <w:p w14:paraId="211FA3C6">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管理制度</w:t>
            </w:r>
          </w:p>
          <w:p w14:paraId="06F7A08D">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情况评审</w:t>
            </w:r>
          </w:p>
          <w:p w14:paraId="306BFDB0">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tc>
        <w:tc>
          <w:tcPr>
            <w:tcW w:w="4328" w:type="dxa"/>
            <w:noWrap w:val="0"/>
            <w:vAlign w:val="center"/>
          </w:tcPr>
          <w:p w14:paraId="1D4BC4F5">
            <w:pPr>
              <w:pStyle w:val="20"/>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根据供应商的内部关于文物考古勘探发掘等相关的管理制度情况评审（须附相关内部管理制度材料证明文件）。管理制度健全完整得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分；管理制度较为完善得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分；管理制度一般得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分；未提供不得分。</w:t>
            </w:r>
          </w:p>
        </w:tc>
      </w:tr>
      <w:tr w14:paraId="39FF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noWrap w:val="0"/>
            <w:vAlign w:val="center"/>
          </w:tcPr>
          <w:p w14:paraId="12B0E7CA">
            <w:pPr>
              <w:pStyle w:val="20"/>
              <w:spacing w:line="500" w:lineRule="exact"/>
              <w:jc w:val="center"/>
              <w:rPr>
                <w:rFonts w:hint="eastAsia" w:ascii="仿宋" w:hAnsi="仿宋" w:eastAsia="仿宋" w:cs="仿宋"/>
                <w:color w:val="auto"/>
                <w:szCs w:val="21"/>
                <w:highlight w:val="none"/>
              </w:rPr>
            </w:pPr>
          </w:p>
        </w:tc>
        <w:tc>
          <w:tcPr>
            <w:tcW w:w="1568" w:type="dxa"/>
            <w:vMerge w:val="continue"/>
            <w:noWrap w:val="0"/>
            <w:vAlign w:val="center"/>
          </w:tcPr>
          <w:p w14:paraId="64A6373C">
            <w:pPr>
              <w:pStyle w:val="20"/>
              <w:spacing w:line="500" w:lineRule="exact"/>
              <w:jc w:val="center"/>
              <w:rPr>
                <w:rFonts w:hint="eastAsia" w:ascii="仿宋" w:hAnsi="仿宋" w:eastAsia="仿宋" w:cs="仿宋"/>
                <w:color w:val="auto"/>
                <w:szCs w:val="21"/>
                <w:highlight w:val="none"/>
              </w:rPr>
            </w:pPr>
          </w:p>
        </w:tc>
        <w:tc>
          <w:tcPr>
            <w:tcW w:w="2159" w:type="dxa"/>
            <w:noWrap w:val="0"/>
            <w:vAlign w:val="center"/>
          </w:tcPr>
          <w:p w14:paraId="018E2E64">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类似业绩</w:t>
            </w:r>
          </w:p>
          <w:p w14:paraId="4D298273">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分）</w:t>
            </w:r>
          </w:p>
        </w:tc>
        <w:tc>
          <w:tcPr>
            <w:tcW w:w="4328" w:type="dxa"/>
            <w:noWrap w:val="0"/>
            <w:vAlign w:val="top"/>
          </w:tcPr>
          <w:p w14:paraId="14485176">
            <w:pPr>
              <w:pStyle w:val="20"/>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年1月1日以来，供应商提供承担过</w:t>
            </w:r>
            <w:r>
              <w:rPr>
                <w:rFonts w:hint="eastAsia" w:ascii="仿宋" w:hAnsi="仿宋" w:eastAsia="仿宋" w:cs="仿宋"/>
                <w:color w:val="auto"/>
                <w:szCs w:val="21"/>
                <w:highlight w:val="none"/>
                <w:lang w:eastAsia="zh-CN"/>
              </w:rPr>
              <w:t>全国范围内</w:t>
            </w:r>
            <w:r>
              <w:rPr>
                <w:rFonts w:hint="eastAsia" w:ascii="仿宋" w:hAnsi="仿宋" w:eastAsia="仿宋" w:cs="仿宋"/>
                <w:color w:val="auto"/>
                <w:szCs w:val="21"/>
                <w:highlight w:val="none"/>
              </w:rPr>
              <w:t>考古勘探业绩的，每提供一项类似业绩的考古勘探业绩得</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分，最多得</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分。</w:t>
            </w:r>
          </w:p>
          <w:p w14:paraId="1B2249E4">
            <w:pPr>
              <w:pStyle w:val="20"/>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注：需提供探勘合同的原件，未提供不得分。</w:t>
            </w:r>
          </w:p>
        </w:tc>
      </w:tr>
      <w:tr w14:paraId="5395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14:paraId="481A8D7E">
            <w:pPr>
              <w:pStyle w:val="20"/>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568" w:type="dxa"/>
            <w:noWrap w:val="0"/>
            <w:vAlign w:val="center"/>
          </w:tcPr>
          <w:p w14:paraId="6FC8DBB6">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人员配备</w:t>
            </w:r>
          </w:p>
          <w:p w14:paraId="4FF2D230">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（14分）</w:t>
            </w:r>
          </w:p>
        </w:tc>
        <w:tc>
          <w:tcPr>
            <w:tcW w:w="2159" w:type="dxa"/>
            <w:noWrap w:val="0"/>
            <w:vAlign w:val="center"/>
          </w:tcPr>
          <w:p w14:paraId="521C17E6">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人员配备</w:t>
            </w:r>
          </w:p>
          <w:p w14:paraId="77DED7F9">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（14分）</w:t>
            </w:r>
          </w:p>
        </w:tc>
        <w:tc>
          <w:tcPr>
            <w:tcW w:w="4328" w:type="dxa"/>
            <w:noWrap w:val="0"/>
            <w:vAlign w:val="top"/>
          </w:tcPr>
          <w:p w14:paraId="6DA63C10">
            <w:pPr>
              <w:pStyle w:val="2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供应商服务人员队伍（包括技师、探工）配备合理。</w:t>
            </w:r>
          </w:p>
          <w:p w14:paraId="22F74858">
            <w:pPr>
              <w:pStyle w:val="2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1、每配备一名技师，得2分，满分4分。</w:t>
            </w:r>
          </w:p>
          <w:p w14:paraId="1D8AD3D3">
            <w:pPr>
              <w:pStyle w:val="2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注：技师应提供人员证书原件、劳动合同原件及近三个月在本单位缴纳社保证明文件的原件</w:t>
            </w:r>
          </w:p>
          <w:p w14:paraId="1AFC821B">
            <w:pPr>
              <w:pStyle w:val="2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2、供应商组建探工队伍，队伍人数在30人以上，得10分；队伍人数在2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-29人的，得6分；队伍人数在20-</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人的，得2分；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人以下或未提供不得分。</w:t>
            </w:r>
          </w:p>
          <w:p w14:paraId="31379DDF">
            <w:pPr>
              <w:pStyle w:val="2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注：提供探工队伍组成表，表中明确人员姓名、身份号、年龄及从业年限。</w:t>
            </w:r>
          </w:p>
        </w:tc>
      </w:tr>
      <w:tr w14:paraId="2564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14:paraId="09C3FFF5">
            <w:pPr>
              <w:pStyle w:val="20"/>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568" w:type="dxa"/>
            <w:noWrap w:val="0"/>
            <w:vAlign w:val="center"/>
          </w:tcPr>
          <w:p w14:paraId="0D4D8AF7">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服务承诺</w:t>
            </w:r>
          </w:p>
          <w:p w14:paraId="7D031FF7">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2159" w:type="dxa"/>
            <w:noWrap w:val="0"/>
            <w:vAlign w:val="center"/>
          </w:tcPr>
          <w:p w14:paraId="359F1A88">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服务承诺</w:t>
            </w:r>
          </w:p>
          <w:p w14:paraId="399D498B">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328" w:type="dxa"/>
            <w:noWrap w:val="0"/>
            <w:vAlign w:val="top"/>
          </w:tcPr>
          <w:p w14:paraId="30D0855F">
            <w:pPr>
              <w:snapToGrid w:val="0"/>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针对项目供应商提出的服务承诺。服务承诺优秀，全面、详实，承诺杜绝分包、转包，得5分；服务承诺一般，较为详实全面，得3分；服务承诺较差，不全面，得1分。无相关的承诺，不得分。</w:t>
            </w:r>
          </w:p>
        </w:tc>
      </w:tr>
      <w:tr w14:paraId="61F0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restart"/>
            <w:noWrap w:val="0"/>
            <w:vAlign w:val="center"/>
          </w:tcPr>
          <w:p w14:paraId="10C071F2">
            <w:pPr>
              <w:pStyle w:val="20"/>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568" w:type="dxa"/>
            <w:vMerge w:val="restart"/>
            <w:noWrap w:val="0"/>
            <w:vAlign w:val="center"/>
          </w:tcPr>
          <w:p w14:paraId="2334D56C">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服务方案</w:t>
            </w:r>
          </w:p>
          <w:p w14:paraId="7B59BE08">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41</w:t>
            </w:r>
            <w:r>
              <w:rPr>
                <w:rFonts w:hint="eastAsia" w:ascii="仿宋" w:hAnsi="仿宋" w:eastAsia="仿宋" w:cs="仿宋"/>
                <w:color w:val="auto"/>
                <w:szCs w:val="21"/>
                <w:highlight w:val="none"/>
              </w:rPr>
              <w:t>分）</w:t>
            </w:r>
          </w:p>
        </w:tc>
        <w:tc>
          <w:tcPr>
            <w:tcW w:w="2159" w:type="dxa"/>
            <w:noWrap w:val="0"/>
            <w:vAlign w:val="center"/>
          </w:tcPr>
          <w:p w14:paraId="136C9F2B">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实施服务方案</w:t>
            </w:r>
          </w:p>
          <w:p w14:paraId="24D1CD98">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328" w:type="dxa"/>
            <w:noWrap w:val="0"/>
            <w:vAlign w:val="top"/>
          </w:tcPr>
          <w:p w14:paraId="2DA88CA4">
            <w:pPr>
              <w:snapToGrid w:val="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要求总体思路。思路清晰、内容详实、具体、有针对性，得5分。思路较清晰、内容具体、可行，得3分。思路一般、正对性不强，得1分。不合理或未提供，得0分。</w:t>
            </w:r>
          </w:p>
        </w:tc>
      </w:tr>
      <w:tr w14:paraId="69A2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noWrap w:val="0"/>
            <w:vAlign w:val="center"/>
          </w:tcPr>
          <w:p w14:paraId="5845B756">
            <w:pPr>
              <w:pStyle w:val="20"/>
              <w:spacing w:line="500" w:lineRule="exact"/>
              <w:jc w:val="center"/>
              <w:rPr>
                <w:rFonts w:hint="eastAsia" w:ascii="仿宋" w:hAnsi="仿宋" w:eastAsia="仿宋" w:cs="仿宋"/>
                <w:color w:val="auto"/>
                <w:szCs w:val="21"/>
                <w:highlight w:val="none"/>
              </w:rPr>
            </w:pPr>
          </w:p>
        </w:tc>
        <w:tc>
          <w:tcPr>
            <w:tcW w:w="1568" w:type="dxa"/>
            <w:vMerge w:val="continue"/>
            <w:noWrap w:val="0"/>
            <w:vAlign w:val="center"/>
          </w:tcPr>
          <w:p w14:paraId="46CA8901">
            <w:pPr>
              <w:pStyle w:val="20"/>
              <w:spacing w:line="500" w:lineRule="exact"/>
              <w:jc w:val="center"/>
              <w:rPr>
                <w:rFonts w:hint="eastAsia" w:ascii="仿宋" w:hAnsi="仿宋" w:eastAsia="仿宋" w:cs="仿宋"/>
                <w:color w:val="auto"/>
                <w:szCs w:val="21"/>
                <w:highlight w:val="none"/>
              </w:rPr>
            </w:pPr>
          </w:p>
        </w:tc>
        <w:tc>
          <w:tcPr>
            <w:tcW w:w="2159" w:type="dxa"/>
            <w:noWrap w:val="0"/>
            <w:vAlign w:val="center"/>
          </w:tcPr>
          <w:p w14:paraId="71DE5618">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质量管控措施</w:t>
            </w:r>
          </w:p>
          <w:p w14:paraId="11738C16">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328" w:type="dxa"/>
            <w:noWrap w:val="0"/>
            <w:vAlign w:val="top"/>
          </w:tcPr>
          <w:p w14:paraId="246FFCBD">
            <w:pPr>
              <w:snapToGrid w:val="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管控措施科学合理，对出现的问题有可行性解决方案，解决问题及时可行，得5分。质量管控措施合理较好，对出现的问题有可行性解决方案，解决问题可行性一般，得3分。质量管控措施合理一般，对出现的问题解决可行性较差，得1分。不合理或未提供，得0分。</w:t>
            </w:r>
          </w:p>
        </w:tc>
      </w:tr>
      <w:tr w14:paraId="31D5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noWrap w:val="0"/>
            <w:vAlign w:val="center"/>
          </w:tcPr>
          <w:p w14:paraId="5D13E12A">
            <w:pPr>
              <w:pStyle w:val="20"/>
              <w:spacing w:line="500" w:lineRule="exact"/>
              <w:jc w:val="center"/>
              <w:rPr>
                <w:rFonts w:hint="eastAsia" w:ascii="仿宋" w:hAnsi="仿宋" w:eastAsia="仿宋" w:cs="仿宋"/>
                <w:color w:val="auto"/>
                <w:szCs w:val="21"/>
                <w:highlight w:val="none"/>
              </w:rPr>
            </w:pPr>
          </w:p>
        </w:tc>
        <w:tc>
          <w:tcPr>
            <w:tcW w:w="1568" w:type="dxa"/>
            <w:vMerge w:val="continue"/>
            <w:noWrap w:val="0"/>
            <w:vAlign w:val="center"/>
          </w:tcPr>
          <w:p w14:paraId="4E67FFF1">
            <w:pPr>
              <w:pStyle w:val="20"/>
              <w:spacing w:line="500" w:lineRule="exact"/>
              <w:jc w:val="center"/>
              <w:rPr>
                <w:rFonts w:hint="eastAsia" w:ascii="仿宋" w:hAnsi="仿宋" w:eastAsia="仿宋" w:cs="仿宋"/>
                <w:color w:val="auto"/>
                <w:szCs w:val="21"/>
                <w:highlight w:val="none"/>
              </w:rPr>
            </w:pPr>
          </w:p>
        </w:tc>
        <w:tc>
          <w:tcPr>
            <w:tcW w:w="2159" w:type="dxa"/>
            <w:noWrap w:val="0"/>
            <w:vAlign w:val="center"/>
          </w:tcPr>
          <w:p w14:paraId="6CC2D571">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进度计划管控措施（5分）</w:t>
            </w:r>
          </w:p>
        </w:tc>
        <w:tc>
          <w:tcPr>
            <w:tcW w:w="4328" w:type="dxa"/>
            <w:noWrap w:val="0"/>
            <w:vAlign w:val="top"/>
          </w:tcPr>
          <w:p w14:paraId="7C1A3DF2">
            <w:pPr>
              <w:pStyle w:val="20"/>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进度计划管控措施科学合理，可确保工作优质、高效、如期完成，得5分。进度计划管控措施科学较为合理，基本可确保工作较好、如期完成，得3分。进度计划管控措施科学较差，基本可确保如期完成，得1分。不合理，或未提供，得0分。</w:t>
            </w:r>
          </w:p>
        </w:tc>
      </w:tr>
      <w:tr w14:paraId="208E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noWrap w:val="0"/>
            <w:vAlign w:val="center"/>
          </w:tcPr>
          <w:p w14:paraId="7D2CEF8A">
            <w:pPr>
              <w:pStyle w:val="20"/>
              <w:spacing w:line="500" w:lineRule="exact"/>
              <w:jc w:val="center"/>
              <w:rPr>
                <w:rFonts w:hint="eastAsia" w:ascii="仿宋" w:hAnsi="仿宋" w:eastAsia="仿宋" w:cs="仿宋"/>
                <w:color w:val="auto"/>
                <w:szCs w:val="21"/>
                <w:highlight w:val="none"/>
              </w:rPr>
            </w:pPr>
          </w:p>
        </w:tc>
        <w:tc>
          <w:tcPr>
            <w:tcW w:w="1568" w:type="dxa"/>
            <w:vMerge w:val="continue"/>
            <w:noWrap w:val="0"/>
            <w:vAlign w:val="center"/>
          </w:tcPr>
          <w:p w14:paraId="7F81E5AD">
            <w:pPr>
              <w:pStyle w:val="20"/>
              <w:spacing w:line="500" w:lineRule="exact"/>
              <w:jc w:val="center"/>
              <w:rPr>
                <w:rFonts w:hint="eastAsia" w:ascii="仿宋" w:hAnsi="仿宋" w:eastAsia="仿宋" w:cs="仿宋"/>
                <w:color w:val="auto"/>
                <w:szCs w:val="21"/>
                <w:highlight w:val="none"/>
              </w:rPr>
            </w:pPr>
          </w:p>
        </w:tc>
        <w:tc>
          <w:tcPr>
            <w:tcW w:w="2159" w:type="dxa"/>
            <w:noWrap w:val="0"/>
            <w:vAlign w:val="center"/>
          </w:tcPr>
          <w:p w14:paraId="34E50FF6">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安全管控措施（5分）</w:t>
            </w:r>
          </w:p>
        </w:tc>
        <w:tc>
          <w:tcPr>
            <w:tcW w:w="4328" w:type="dxa"/>
            <w:noWrap w:val="0"/>
            <w:vAlign w:val="top"/>
          </w:tcPr>
          <w:p w14:paraId="4ABED2F4">
            <w:pPr>
              <w:pStyle w:val="20"/>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安全管控措施全面、完备健全，具有针对性、可操作性，得5分。安全管控措施较全面、可操作性较好，得3分。安全管控措施一般，操作性不强，得1分。不合理，或是没有提供，得0分。</w:t>
            </w:r>
          </w:p>
        </w:tc>
      </w:tr>
      <w:tr w14:paraId="6499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noWrap w:val="0"/>
            <w:vAlign w:val="center"/>
          </w:tcPr>
          <w:p w14:paraId="0B8242BF">
            <w:pPr>
              <w:pStyle w:val="20"/>
              <w:spacing w:line="500" w:lineRule="exact"/>
              <w:jc w:val="center"/>
              <w:rPr>
                <w:rFonts w:hint="eastAsia" w:ascii="仿宋" w:hAnsi="仿宋" w:eastAsia="仿宋" w:cs="仿宋"/>
                <w:color w:val="auto"/>
                <w:szCs w:val="21"/>
                <w:highlight w:val="none"/>
              </w:rPr>
            </w:pPr>
          </w:p>
        </w:tc>
        <w:tc>
          <w:tcPr>
            <w:tcW w:w="1568" w:type="dxa"/>
            <w:vMerge w:val="continue"/>
            <w:noWrap w:val="0"/>
            <w:vAlign w:val="center"/>
          </w:tcPr>
          <w:p w14:paraId="4E4E6AE6">
            <w:pPr>
              <w:pStyle w:val="20"/>
              <w:spacing w:line="500" w:lineRule="exact"/>
              <w:jc w:val="center"/>
              <w:rPr>
                <w:rFonts w:hint="eastAsia" w:ascii="仿宋" w:hAnsi="仿宋" w:eastAsia="仿宋" w:cs="仿宋"/>
                <w:color w:val="auto"/>
                <w:szCs w:val="21"/>
                <w:highlight w:val="none"/>
              </w:rPr>
            </w:pPr>
          </w:p>
        </w:tc>
        <w:tc>
          <w:tcPr>
            <w:tcW w:w="2159" w:type="dxa"/>
            <w:noWrap w:val="0"/>
            <w:vAlign w:val="center"/>
          </w:tcPr>
          <w:p w14:paraId="2312886C">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后续服务方案（5分）</w:t>
            </w:r>
          </w:p>
        </w:tc>
        <w:tc>
          <w:tcPr>
            <w:tcW w:w="4328" w:type="dxa"/>
            <w:noWrap w:val="0"/>
            <w:vAlign w:val="top"/>
          </w:tcPr>
          <w:p w14:paraId="5C043100">
            <w:pPr>
              <w:pStyle w:val="20"/>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文物修复、资料整理、数字化技术等后续服务方案。后续服务方案内容详实全面、科学合理、有针对性，可确保工作优质、高效、如期完成，得5分。后续服务方案内容较详实、合理、有针对性，基本可确保工作较好、如期完成，得 3分。后续服务方案内容一般，针对性不强，基本可确保工作如期完成，得1分。不合理或未提供，得0分。</w:t>
            </w:r>
          </w:p>
        </w:tc>
      </w:tr>
      <w:tr w14:paraId="5AA2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noWrap w:val="0"/>
            <w:vAlign w:val="center"/>
          </w:tcPr>
          <w:p w14:paraId="3B161735">
            <w:pPr>
              <w:pStyle w:val="20"/>
              <w:spacing w:line="500" w:lineRule="exact"/>
              <w:jc w:val="center"/>
              <w:rPr>
                <w:rFonts w:hint="eastAsia" w:ascii="仿宋" w:hAnsi="仿宋" w:eastAsia="仿宋" w:cs="仿宋"/>
                <w:color w:val="auto"/>
                <w:szCs w:val="21"/>
                <w:highlight w:val="none"/>
              </w:rPr>
            </w:pPr>
          </w:p>
        </w:tc>
        <w:tc>
          <w:tcPr>
            <w:tcW w:w="1568" w:type="dxa"/>
            <w:vMerge w:val="continue"/>
            <w:noWrap w:val="0"/>
            <w:vAlign w:val="center"/>
          </w:tcPr>
          <w:p w14:paraId="6E6C6502">
            <w:pPr>
              <w:pStyle w:val="20"/>
              <w:spacing w:line="500" w:lineRule="exact"/>
              <w:jc w:val="center"/>
              <w:rPr>
                <w:rFonts w:hint="eastAsia" w:ascii="仿宋" w:hAnsi="仿宋" w:eastAsia="仿宋" w:cs="仿宋"/>
                <w:color w:val="auto"/>
                <w:szCs w:val="21"/>
                <w:highlight w:val="none"/>
              </w:rPr>
            </w:pPr>
          </w:p>
        </w:tc>
        <w:tc>
          <w:tcPr>
            <w:tcW w:w="2159" w:type="dxa"/>
            <w:noWrap w:val="0"/>
            <w:vAlign w:val="center"/>
          </w:tcPr>
          <w:p w14:paraId="37B89F36">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设备配备（</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tc>
        <w:tc>
          <w:tcPr>
            <w:tcW w:w="4328" w:type="dxa"/>
            <w:noWrap w:val="0"/>
            <w:vAlign w:val="top"/>
          </w:tcPr>
          <w:p w14:paraId="10D154B9">
            <w:pPr>
              <w:pStyle w:val="20"/>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考古调查勘探所配备的专业设备（RTK、无人机、笔记本电脑、单反相机、三维扫描仪等）、交通车辆和相应的办公场所；（提供购买设备发票复印件或相关证明复印件，加盖公章。不提供不得分。办公场所提供相关照片资料）。勘探设备齐全，先进，有办公场所，得5分。勘探设备较齐全，较先进，有办公场所，得3分。勘探设备一般，能满足要求，有办公场所，得1分。没有提供，得0分。</w:t>
            </w:r>
          </w:p>
        </w:tc>
      </w:tr>
      <w:tr w14:paraId="3ACE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noWrap w:val="0"/>
            <w:vAlign w:val="center"/>
          </w:tcPr>
          <w:p w14:paraId="7E51A726">
            <w:pPr>
              <w:pStyle w:val="20"/>
              <w:spacing w:line="500" w:lineRule="exact"/>
              <w:jc w:val="center"/>
              <w:rPr>
                <w:rFonts w:hint="eastAsia" w:ascii="仿宋" w:hAnsi="仿宋" w:eastAsia="仿宋" w:cs="仿宋"/>
                <w:color w:val="auto"/>
                <w:szCs w:val="21"/>
                <w:highlight w:val="none"/>
              </w:rPr>
            </w:pPr>
          </w:p>
        </w:tc>
        <w:tc>
          <w:tcPr>
            <w:tcW w:w="1568" w:type="dxa"/>
            <w:vMerge w:val="continue"/>
            <w:noWrap w:val="0"/>
            <w:vAlign w:val="center"/>
          </w:tcPr>
          <w:p w14:paraId="7C129841">
            <w:pPr>
              <w:pStyle w:val="20"/>
              <w:spacing w:line="500" w:lineRule="exact"/>
              <w:jc w:val="center"/>
              <w:rPr>
                <w:rFonts w:hint="eastAsia" w:ascii="仿宋" w:hAnsi="仿宋" w:eastAsia="仿宋" w:cs="仿宋"/>
                <w:color w:val="auto"/>
                <w:szCs w:val="21"/>
                <w:highlight w:val="none"/>
              </w:rPr>
            </w:pPr>
          </w:p>
        </w:tc>
        <w:tc>
          <w:tcPr>
            <w:tcW w:w="2159" w:type="dxa"/>
            <w:noWrap w:val="0"/>
            <w:vAlign w:val="center"/>
          </w:tcPr>
          <w:p w14:paraId="0DF04700">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bCs/>
                <w:color w:val="auto"/>
                <w:highlight w:val="none"/>
              </w:rPr>
              <w:t>应急预案（</w:t>
            </w: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分）</w:t>
            </w:r>
          </w:p>
        </w:tc>
        <w:tc>
          <w:tcPr>
            <w:tcW w:w="4328" w:type="dxa"/>
            <w:noWrap w:val="0"/>
            <w:vAlign w:val="top"/>
          </w:tcPr>
          <w:p w14:paraId="651CFB99">
            <w:pPr>
              <w:pStyle w:val="20"/>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委根据响应文件提供的突发事件应急处理预案进行综合评分：执行中可能遇到的风险有预测，并有合理可行的风险应对方案，完整详细的得5分；对项目实施过程中可能遇到的风险有合理预测，且提供风险应对基本解决方案的得3分；对项目实施过程中可能遇到的风险有一定程度了解的得1分；未提供的不得分。</w:t>
            </w:r>
          </w:p>
        </w:tc>
      </w:tr>
      <w:tr w14:paraId="3B26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863" w:type="dxa"/>
            <w:vMerge w:val="continue"/>
            <w:noWrap w:val="0"/>
            <w:vAlign w:val="center"/>
          </w:tcPr>
          <w:p w14:paraId="73C33BA4">
            <w:pPr>
              <w:pStyle w:val="20"/>
              <w:spacing w:line="500" w:lineRule="exact"/>
              <w:jc w:val="center"/>
              <w:rPr>
                <w:rFonts w:hint="eastAsia" w:ascii="仿宋" w:hAnsi="仿宋" w:eastAsia="仿宋" w:cs="仿宋"/>
                <w:color w:val="auto"/>
                <w:szCs w:val="21"/>
                <w:highlight w:val="none"/>
              </w:rPr>
            </w:pPr>
          </w:p>
        </w:tc>
        <w:tc>
          <w:tcPr>
            <w:tcW w:w="1568" w:type="dxa"/>
            <w:vMerge w:val="continue"/>
            <w:noWrap w:val="0"/>
            <w:vAlign w:val="center"/>
          </w:tcPr>
          <w:p w14:paraId="3AC05D1D">
            <w:pPr>
              <w:pStyle w:val="20"/>
              <w:spacing w:line="500" w:lineRule="exact"/>
              <w:jc w:val="center"/>
              <w:rPr>
                <w:rFonts w:hint="eastAsia" w:ascii="仿宋" w:hAnsi="仿宋" w:eastAsia="仿宋" w:cs="仿宋"/>
                <w:color w:val="auto"/>
                <w:szCs w:val="21"/>
                <w:highlight w:val="none"/>
              </w:rPr>
            </w:pPr>
          </w:p>
        </w:tc>
        <w:tc>
          <w:tcPr>
            <w:tcW w:w="2159" w:type="dxa"/>
            <w:noWrap w:val="0"/>
            <w:vAlign w:val="center"/>
          </w:tcPr>
          <w:p w14:paraId="1C1B2832">
            <w:pPr>
              <w:pStyle w:val="20"/>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勘探项目工作报告案例（1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4328" w:type="dxa"/>
            <w:noWrap w:val="0"/>
            <w:vAlign w:val="top"/>
          </w:tcPr>
          <w:p w14:paraId="2E6FA4A4">
            <w:pPr>
              <w:snapToGrid w:val="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递交的近3年内已完成的配合基本建设考古勘探项目工作报告案例（包括项目工作概况和人员组成；勘探项目的地貌、位置、范围；勘探程序与布孔方法、地层勘探及分析、成果；项目成果、问题和建议及组成报告的各种照片、线图、测绘数据等内容。）勘探项目工作报告要求内容详细、事件清晰、文件齐全、程序科学合理、数据分析准确。</w:t>
            </w:r>
          </w:p>
          <w:p w14:paraId="56AE1D49">
            <w:pPr>
              <w:snapToGrid w:val="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案例报告优秀、详实、科学合理、数据分析科学准确，结语科学具有操作性，对下一步文物保护工作提出明确基础意见，得 15分；</w:t>
            </w:r>
          </w:p>
          <w:p w14:paraId="305C8DC4">
            <w:pPr>
              <w:snapToGrid w:val="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案例报告较详实、较为科学合理、数据分析科学合理，得10分；</w:t>
            </w:r>
          </w:p>
          <w:p w14:paraId="407E94C9">
            <w:pPr>
              <w:snapToGrid w:val="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案例报告较合理、数据分析一般，得10分；</w:t>
            </w:r>
          </w:p>
          <w:p w14:paraId="03092234">
            <w:pPr>
              <w:snapToGrid w:val="0"/>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案例报告整体一般、数据分析较少，得5分；</w:t>
            </w:r>
          </w:p>
          <w:p w14:paraId="3EA9D074">
            <w:pPr>
              <w:pStyle w:val="20"/>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没有提供，得0分。（仅提供一个优秀、完整的案例报告即可）    </w:t>
            </w:r>
          </w:p>
        </w:tc>
      </w:tr>
    </w:tbl>
    <w:p w14:paraId="0957E360">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F5A7">
    <w:pPr>
      <w:pStyle w:val="11"/>
      <w:framePr w:wrap="around" w:vAnchor="text" w:hAnchor="margin" w:xAlign="center" w:y="1"/>
      <w:rPr>
        <w:rStyle w:val="17"/>
      </w:rPr>
    </w:pPr>
    <w:r>
      <w:fldChar w:fldCharType="begin"/>
    </w:r>
    <w:r>
      <w:rPr>
        <w:rStyle w:val="17"/>
        <w:sz w:val="21"/>
        <w:szCs w:val="24"/>
      </w:rPr>
      <w:instrText xml:space="preserve">PAGE  </w:instrText>
    </w:r>
    <w:r>
      <w:fldChar w:fldCharType="separate"/>
    </w:r>
    <w:r>
      <w:rPr>
        <w:rStyle w:val="17"/>
        <w:sz w:val="21"/>
        <w:szCs w:val="24"/>
      </w:rPr>
      <w:t>22</w:t>
    </w:r>
    <w:r>
      <w:fldChar w:fldCharType="end"/>
    </w:r>
  </w:p>
  <w:p w14:paraId="2397637D">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155AA"/>
    <w:rsid w:val="4B5155AA"/>
    <w:rsid w:val="6ABD60AB"/>
    <w:rsid w:val="7EF8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4"/>
    <w:qFormat/>
    <w:uiPriority w:val="0"/>
    <w:pPr>
      <w:keepNext/>
      <w:keepLines/>
      <w:widowControl w:val="0"/>
      <w:spacing w:before="260" w:after="26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4"/>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jc w:val="left"/>
    </w:pPr>
    <w:rPr>
      <w:rFonts w:ascii="Calibri" w:hAnsi="宋体" w:eastAsia="仿宋_GB2312" w:cs="Times New Roman"/>
      <w:kern w:val="2"/>
      <w:sz w:val="21"/>
      <w:szCs w:val="24"/>
      <w:lang w:val="en-US" w:eastAsia="zh-CN" w:bidi="ar-SA"/>
    </w:rPr>
  </w:style>
  <w:style w:type="paragraph" w:styleId="4">
    <w:name w:val="Normal Indent"/>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next w:val="7"/>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7">
    <w:name w:val="一级条标题"/>
    <w:next w:val="8"/>
    <w:qFormat/>
    <w:uiPriority w:val="0"/>
    <w:pPr>
      <w:widowControl/>
      <w:tabs>
        <w:tab w:val="left" w:pos="425"/>
        <w:tab w:val="left" w:pos="525"/>
      </w:tabs>
      <w:spacing w:line="360" w:lineRule="auto"/>
      <w:ind w:left="425" w:hanging="425" w:firstLineChars="200"/>
      <w:jc w:val="left"/>
      <w:outlineLvl w:val="2"/>
    </w:pPr>
    <w:rPr>
      <w:rFonts w:ascii="黑体" w:hAnsi="Times New Roman" w:eastAsia="黑体" w:cs="黑体"/>
      <w:color w:val="7030A0"/>
      <w:kern w:val="0"/>
      <w:sz w:val="21"/>
      <w:szCs w:val="20"/>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next w:val="1"/>
    <w:unhideWhenUsed/>
    <w:qFormat/>
    <w:uiPriority w:val="99"/>
    <w:pPr>
      <w:widowControl w:val="0"/>
      <w:spacing w:after="120"/>
      <w:ind w:left="420" w:leftChars="200" w:firstLine="420"/>
      <w:jc w:val="both"/>
    </w:pPr>
    <w:rPr>
      <w:rFonts w:ascii="Calibri" w:hAnsi="Calibri" w:eastAsia="仿宋_GB2312" w:cs="Times New Roman"/>
      <w:kern w:val="2"/>
      <w:sz w:val="21"/>
      <w:szCs w:val="24"/>
      <w:lang w:val="en-US" w:eastAsia="zh-CN" w:bidi="ar-SA"/>
    </w:rPr>
  </w:style>
  <w:style w:type="paragraph" w:styleId="10">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11">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2">
    <w:name w:val="Normal (Web)"/>
    <w:qFormat/>
    <w:uiPriority w:val="0"/>
    <w:pPr>
      <w:widowControl w:val="0"/>
      <w:spacing w:beforeAutospacing="1" w:afterAutospacing="1"/>
      <w:jc w:val="left"/>
    </w:pPr>
    <w:rPr>
      <w:rFonts w:ascii="Times New Roman" w:hAnsi="Times New Roman" w:eastAsia="宋体" w:cs="Times New Roman"/>
      <w:kern w:val="0"/>
      <w:sz w:val="24"/>
      <w:szCs w:val="24"/>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unhideWhenUsed/>
    <w:qFormat/>
    <w:uiPriority w:val="0"/>
  </w:style>
  <w:style w:type="paragraph" w:customStyle="1" w:styleId="18">
    <w:name w:val="样式 样式 行距: 1.5 倍行距 + 首行缩进:  2 字符"/>
    <w:qFormat/>
    <w:uiPriority w:val="0"/>
    <w:pPr>
      <w:widowControl w:val="0"/>
      <w:jc w:val="both"/>
    </w:pPr>
    <w:rPr>
      <w:rFonts w:ascii="Times New Roman" w:hAnsi="Times New Roman" w:eastAsia="宋体" w:cs="宋体"/>
      <w:kern w:val="2"/>
      <w:sz w:val="24"/>
      <w:szCs w:val="24"/>
      <w:lang w:val="en-US" w:eastAsia="zh-CN" w:bidi="ar-SA"/>
    </w:rPr>
  </w:style>
  <w:style w:type="paragraph" w:customStyle="1" w:styleId="1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2025-07-25T02:16:00Z</dcterms:created>
  <dc:creator>悸.</dc:creator>
  <cp:lastModifiedBy>悸.</cp:lastModifiedBy>
  <dcterms:modified xsi:type="dcterms:W3CDTF">2025-07-25T02:17:53Z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54A3D66A32704E78988039B0B248102C_13</vt:lpwstr>
  </property>
  <property fmtid="{D5CDD505-2E9C-101B-9397-08002B2CF9AE}" pid="4" name="KSOTemplateDocerSaveRecord">
    <vt:lpwstr>eyJoZGlkIjoiY2FlZWE2MDVkYzczMGQwN2ZmMzY5NDNjOTllMzEwOWUiLCJ1c2VySWQiOiIxMTMwNjg1NTA4In0=</vt:lpwstr>
  </property>
</Properties>
</file>