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29CC4">
      <w:pPr>
        <w:pStyle w:val="2"/>
        <w:spacing w:line="228" w:lineRule="auto"/>
        <w:ind w:firstLine="1218" w:firstLineChars="300"/>
        <w:jc w:val="both"/>
        <w:rPr>
          <w:rFonts w:hint="eastAsia" w:ascii="方正小标宋_GBK" w:hAnsi="方正小标宋_GBK" w:eastAsia="方正小标宋_GBK" w:cs="方正小标宋_GBK"/>
          <w:spacing w:val="-17"/>
          <w:sz w:val="44"/>
          <w:szCs w:val="44"/>
          <w:lang w:val="en-US" w:eastAsia="zh-CN"/>
        </w:rPr>
      </w:pPr>
      <w:bookmarkStart w:id="0" w:name="_GoBack"/>
      <w:r>
        <w:rPr>
          <w:rFonts w:hint="eastAsia" w:ascii="方正小标宋_GBK" w:hAnsi="方正小标宋_GBK" w:eastAsia="方正小标宋_GBK" w:cs="方正小标宋_GBK"/>
          <w:spacing w:val="-17"/>
          <w:sz w:val="44"/>
          <w:szCs w:val="44"/>
          <w:lang w:val="en-US" w:eastAsia="zh-CN"/>
        </w:rPr>
        <w:t>第二十届全国群星奖宁夏地区选拔赛</w:t>
      </w:r>
    </w:p>
    <w:p w14:paraId="42BC6E13">
      <w:pPr>
        <w:pStyle w:val="2"/>
        <w:spacing w:line="228" w:lineRule="auto"/>
        <w:jc w:val="center"/>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比赛规则</w:t>
      </w:r>
    </w:p>
    <w:bookmarkEnd w:id="0"/>
    <w:p w14:paraId="7DA53697">
      <w:pPr>
        <w:pStyle w:val="2"/>
        <w:keepNext w:val="0"/>
        <w:keepLines w:val="0"/>
        <w:pageBreakBefore w:val="0"/>
        <w:kinsoku w:val="0"/>
        <w:wordWrap/>
        <w:topLinePunct w:val="0"/>
        <w:autoSpaceDE w:val="0"/>
        <w:autoSpaceDN w:val="0"/>
        <w:bidi w:val="0"/>
        <w:adjustRightInd w:val="0"/>
        <w:snapToGrid w:val="0"/>
        <w:spacing w:line="24" w:lineRule="atLeast"/>
        <w:jc w:val="center"/>
        <w:rPr>
          <w:rFonts w:hint="eastAsia" w:ascii="仿宋_GB2312" w:hAnsi="仿宋_GB2312" w:eastAsia="仿宋_GB2312" w:cs="仿宋_GB2312"/>
          <w:color w:val="FF0000"/>
          <w:spacing w:val="-17"/>
          <w:sz w:val="32"/>
          <w:szCs w:val="32"/>
          <w:lang w:eastAsia="zh-CN"/>
        </w:rPr>
      </w:pPr>
    </w:p>
    <w:p w14:paraId="789DE92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为繁荣我区群众文艺创作，增强人民群众文化参与感、获得感、幸福感，紧密围绕“举旗帜、聚民心、育新人、兴文化、展形象”的使命任务，坚持以人民为中心的创作导向，推出更多增强人民精神力量的优秀作品，讲好宁夏故事，自治区文化和旅游厅决定于2025年2月18日-2月21日举办第二十届群星奖宁夏地区选拔赛，遴选优秀节目备战全国复赛。</w:t>
      </w:r>
    </w:p>
    <w:p w14:paraId="04F5F50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由区直和五市相关单位推荐报送音乐、舞蹈、戏剧、曲艺四个门类，每个门类3个作品参加宁夏地区选拔，根据比赛要求制定本规则。</w:t>
      </w:r>
    </w:p>
    <w:p w14:paraId="3A699F0C">
      <w:pPr>
        <w:keepNext w:val="0"/>
        <w:keepLines w:val="0"/>
        <w:pageBreakBefore w:val="0"/>
        <w:widowControl/>
        <w:kinsoku w:val="0"/>
        <w:wordWrap/>
        <w:overflowPunct/>
        <w:topLinePunct w:val="0"/>
        <w:autoSpaceDE w:val="0"/>
        <w:autoSpaceDN w:val="0"/>
        <w:bidi w:val="0"/>
        <w:adjustRightInd w:val="0"/>
        <w:snapToGrid w:val="0"/>
        <w:spacing w:line="360" w:lineRule="auto"/>
        <w:ind w:firstLine="579" w:firstLineChars="200"/>
        <w:textAlignment w:val="baseline"/>
        <w:rPr>
          <w:rFonts w:hint="eastAsia" w:ascii="仿宋_GB2312" w:hAnsi="仿宋_GB2312" w:eastAsia="仿宋_GB2312" w:cs="仿宋_GB2312"/>
          <w:b/>
          <w:bCs/>
          <w:snapToGrid w:val="0"/>
          <w:color w:val="000000"/>
          <w:spacing w:val="-16"/>
          <w:sz w:val="32"/>
          <w:szCs w:val="32"/>
          <w:lang w:val="en-US" w:eastAsia="zh-CN" w:bidi="ar-SA"/>
        </w:rPr>
      </w:pPr>
      <w:r>
        <w:rPr>
          <w:rFonts w:hint="eastAsia" w:ascii="仿宋_GB2312" w:hAnsi="仿宋_GB2312" w:eastAsia="仿宋_GB2312" w:cs="仿宋_GB2312"/>
          <w:b/>
          <w:bCs/>
          <w:snapToGrid w:val="0"/>
          <w:color w:val="000000"/>
          <w:spacing w:val="-16"/>
          <w:sz w:val="32"/>
          <w:szCs w:val="32"/>
          <w:lang w:val="en-US" w:eastAsia="zh-CN" w:bidi="ar-SA"/>
        </w:rPr>
        <w:t>一、评比时间地点</w:t>
      </w:r>
    </w:p>
    <w:p w14:paraId="1BF0355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音乐类评比时间：2月18日下午13：30-17：30（具体时间以比赛时长为准）</w:t>
      </w:r>
    </w:p>
    <w:p w14:paraId="2DD039C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戏剧类评比时间：2月19日下午13：00-18：30（具体时间以比赛时长为准）</w:t>
      </w:r>
    </w:p>
    <w:p w14:paraId="33044FD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曲艺类评比时间：2月20日下午13：30-18：30（具体时间以比赛时长为准）</w:t>
      </w:r>
    </w:p>
    <w:p w14:paraId="47B2905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舞蹈类评比时间：2月21日下午13：30-17：30（具体时间以比赛时长为准）</w:t>
      </w:r>
    </w:p>
    <w:p w14:paraId="3A6ABE6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评比地点：银川剧院</w:t>
      </w:r>
    </w:p>
    <w:p w14:paraId="539E1BC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二、比赛要求</w:t>
      </w:r>
    </w:p>
    <w:p w14:paraId="546F2E9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作品主题：作品应弘扬社会主义核心价值观，传播正能量。要追求思想精深、艺术精湛、内涵丰富、特色鲜明，既要散发着浓郁的生活气息，又要洋溢着时代的风貌。要注重挖掘和展示本地的红色文化、优秀传统文化、民间民俗特色、优质文旅资源、新时代发展成就等，立意鲜明突出，内容健康向上，提倡多样化表达。</w:t>
      </w:r>
    </w:p>
    <w:p w14:paraId="35C05E9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参赛人员：所有参赛作品的创作者（包含编导、作词、作曲、剧本创作等主创人员）、表演者均应为群众文化工作者或业余文艺爱好者，辅导人员身份不限。群星奖评奖对象是群众文化工作者和群众文艺爱好者创作表演的作品，不包括专业文艺院团、专业演艺机构、部队专业表演团体，艺术专业院校及附中（包括大中专院校所属的艺术学院、音乐学院、艺术系、艺术学科）在职编导、演员、在校师生创作或表演的作品。如违反以上要求，一经发现，取消参赛资格。   </w:t>
      </w:r>
    </w:p>
    <w:p w14:paraId="227A66B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参赛作品时长及人数：音乐作品时间长度不超过8分钟，演出人数不超过16人；舞蹈作品时间长度不超过8分钟，演出人数不超过24人；戏剧（小戏小品）作品演出时间不超过15分钟，演出人数不超过12人（含乐队人数）；曲艺作品演出时间不超过12分钟，演出人数不超过12人（含乐队人数）。</w:t>
      </w:r>
    </w:p>
    <w:p w14:paraId="2A41525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其它要求：参赛作品原则上以近两年“欢乐宁夏”群众文艺会演原创获奖作品及2024年新创作品为主，已获群星奖作品以及在“五个一工程”奖、中国戏剧奖、中国音乐金钟奖、中国曲艺牡丹奖、中国舞蹈荷花奖、中国民间文艺山花奖等常设全国性文艺评奖中已获奖的作品不得参赛，一经发现，取消参赛资格。</w:t>
      </w:r>
    </w:p>
    <w:p w14:paraId="2586A493">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0" w:firstLineChars="0"/>
        <w:textAlignment w:val="baseline"/>
        <w:rPr>
          <w:rFonts w:hint="default" w:ascii="仿宋_GB2312" w:hAnsi="仿宋_GB2312" w:eastAsia="仿宋_GB2312" w:cs="仿宋_GB2312"/>
          <w:b w:val="0"/>
          <w:bCs w:val="0"/>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评比细则</w:t>
      </w:r>
    </w:p>
    <w:p w14:paraId="43C22B1B">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right="559" w:rightChars="0" w:firstLine="643" w:firstLineChars="200"/>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（一）参赛团队审核</w:t>
      </w:r>
    </w:p>
    <w:p w14:paraId="075EBFDF">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right="559" w:rightChars="0" w:firstLine="640" w:firstLineChars="200"/>
        <w:rPr>
          <w:rFonts w:hint="eastAsia" w:ascii="仿宋_GB2312" w:hAnsi="仿宋_GB2312" w:eastAsia="仿宋_GB2312" w:cs="仿宋_GB2312"/>
          <w:b w:val="0"/>
          <w:bCs w:val="0"/>
          <w:snapToGrid w:val="0"/>
          <w:color w:val="000000"/>
          <w:sz w:val="32"/>
          <w:szCs w:val="32"/>
          <w:lang w:val="en-US" w:eastAsia="zh-CN" w:bidi="ar-SA"/>
        </w:rPr>
      </w:pPr>
      <w:r>
        <w:rPr>
          <w:rFonts w:hint="eastAsia" w:ascii="仿宋_GB2312" w:hAnsi="仿宋_GB2312" w:eastAsia="仿宋_GB2312" w:cs="仿宋_GB2312"/>
          <w:b w:val="0"/>
          <w:bCs w:val="0"/>
          <w:snapToGrid w:val="0"/>
          <w:color w:val="000000"/>
          <w:sz w:val="32"/>
          <w:szCs w:val="32"/>
          <w:lang w:val="en-US" w:eastAsia="zh-CN" w:bidi="ar-SA"/>
        </w:rPr>
        <w:t>由各单位填写参赛承诺书，确认参赛节目内容、人员身份、数量与报名要求一致，于赛前向主办方提交。</w:t>
      </w:r>
    </w:p>
    <w:p w14:paraId="44F15FD9">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right="559" w:rightChars="0" w:firstLine="643" w:firstLineChars="200"/>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（二）参赛团队出场顺序</w:t>
      </w:r>
    </w:p>
    <w:p w14:paraId="5461BAFC">
      <w:pPr>
        <w:pStyle w:val="2"/>
        <w:keepNext w:val="0"/>
        <w:keepLines w:val="0"/>
        <w:pageBreakBefore w:val="0"/>
        <w:kinsoku w:val="0"/>
        <w:wordWrap/>
        <w:topLinePunct w:val="0"/>
        <w:autoSpaceDE w:val="0"/>
        <w:autoSpaceDN w:val="0"/>
        <w:bidi w:val="0"/>
        <w:adjustRightInd w:val="0"/>
        <w:snapToGrid w:val="0"/>
        <w:spacing w:line="360" w:lineRule="auto"/>
        <w:ind w:firstLine="640" w:firstLineChars="200"/>
        <w:jc w:val="both"/>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计划于2025年2月13日组织参选单位领队进行线上抽签确定出场顺序，经各领队确认后在自治区文化和旅游厅官网、宁夏公共文化服务云进行公示。</w:t>
      </w:r>
    </w:p>
    <w:p w14:paraId="498E38FD">
      <w:pPr>
        <w:pStyle w:val="2"/>
        <w:keepNext w:val="0"/>
        <w:keepLines w:val="0"/>
        <w:pageBreakBefore w:val="0"/>
        <w:kinsoku w:val="0"/>
        <w:wordWrap/>
        <w:topLinePunct w:val="0"/>
        <w:autoSpaceDE w:val="0"/>
        <w:autoSpaceDN w:val="0"/>
        <w:bidi w:val="0"/>
        <w:adjustRightInd w:val="0"/>
        <w:snapToGrid w:val="0"/>
        <w:spacing w:line="360" w:lineRule="auto"/>
        <w:ind w:right="559" w:firstLine="643" w:firstLineChars="200"/>
        <w:rPr>
          <w:rFonts w:hint="default"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（三）评审组设置</w:t>
      </w:r>
    </w:p>
    <w:p w14:paraId="7E8BD13B">
      <w:pPr>
        <w:pStyle w:val="2"/>
        <w:keepNext w:val="0"/>
        <w:keepLines w:val="0"/>
        <w:pageBreakBefore w:val="0"/>
        <w:kinsoku w:val="0"/>
        <w:wordWrap/>
        <w:topLinePunct w:val="0"/>
        <w:autoSpaceDE w:val="0"/>
        <w:autoSpaceDN w:val="0"/>
        <w:bidi w:val="0"/>
        <w:adjustRightInd w:val="0"/>
        <w:snapToGrid w:val="0"/>
        <w:spacing w:line="360" w:lineRule="auto"/>
        <w:ind w:firstLine="640" w:firstLineChars="200"/>
        <w:jc w:val="both"/>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专家评委：各门类由5名专家评委组成，其中1名区外专家由主办方指定，4名区内专家从备选名单中现场抽取产生。</w:t>
      </w:r>
    </w:p>
    <w:p w14:paraId="3740F396">
      <w:pPr>
        <w:pStyle w:val="2"/>
        <w:keepNext w:val="0"/>
        <w:keepLines w:val="0"/>
        <w:pageBreakBefore w:val="0"/>
        <w:kinsoku w:val="0"/>
        <w:wordWrap/>
        <w:topLinePunct w:val="0"/>
        <w:autoSpaceDE w:val="0"/>
        <w:autoSpaceDN w:val="0"/>
        <w:bidi w:val="0"/>
        <w:adjustRightInd w:val="0"/>
        <w:snapToGrid w:val="0"/>
        <w:spacing w:line="360" w:lineRule="auto"/>
        <w:ind w:firstLine="640" w:firstLineChars="200"/>
        <w:jc w:val="both"/>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工作人员：评分席设计分员1人、计算员2个、复核人1个。</w:t>
      </w:r>
    </w:p>
    <w:p w14:paraId="6E9A8A94">
      <w:pPr>
        <w:keepNext w:val="0"/>
        <w:keepLines w:val="0"/>
        <w:pageBreakBefore w:val="0"/>
        <w:numPr>
          <w:ilvl w:val="0"/>
          <w:numId w:val="0"/>
        </w:numPr>
        <w:kinsoku w:val="0"/>
        <w:wordWrap/>
        <w:topLinePunct w:val="0"/>
        <w:autoSpaceDE w:val="0"/>
        <w:autoSpaceDN w:val="0"/>
        <w:bidi w:val="0"/>
        <w:adjustRightInd w:val="0"/>
        <w:snapToGrid w:val="0"/>
        <w:spacing w:line="360" w:lineRule="auto"/>
        <w:ind w:firstLine="643" w:firstLineChars="200"/>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（四）评比办法</w:t>
      </w:r>
    </w:p>
    <w:p w14:paraId="7382FBA5">
      <w:pPr>
        <w:keepNext w:val="0"/>
        <w:keepLines w:val="0"/>
        <w:pageBreakBefore w:val="0"/>
        <w:numPr>
          <w:ilvl w:val="0"/>
          <w:numId w:val="0"/>
        </w:numPr>
        <w:kinsoku w:val="0"/>
        <w:wordWrap/>
        <w:topLinePunct w:val="0"/>
        <w:autoSpaceDE w:val="0"/>
        <w:autoSpaceDN w:val="0"/>
        <w:bidi w:val="0"/>
        <w:adjustRightInd w:val="0"/>
        <w:snapToGrid w:val="0"/>
        <w:spacing w:line="360" w:lineRule="auto"/>
        <w:ind w:firstLine="640" w:firstLineChars="200"/>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本次选拔赛采取比选打分方式，各门类作品表演完成后评审组根据评比细则对整场作品逐一进行比选打分，保留小数点后两位，评委需在评分表上签字，去掉一个最高分、去掉一个最低分，以其他三位评委的平均分为该作品最终得分。如遇得分相同的，则由评委组根据参赛团队的整体表现，投票决定名次。主持人现场宣读本场所有节目最终得分。</w:t>
      </w:r>
    </w:p>
    <w:p w14:paraId="03C7B1A6">
      <w:pPr>
        <w:keepNext w:val="0"/>
        <w:keepLines w:val="0"/>
        <w:pageBreakBefore w:val="0"/>
        <w:numPr>
          <w:ilvl w:val="0"/>
          <w:numId w:val="0"/>
        </w:numPr>
        <w:kinsoku w:val="0"/>
        <w:wordWrap/>
        <w:topLinePunct w:val="0"/>
        <w:autoSpaceDE w:val="0"/>
        <w:autoSpaceDN w:val="0"/>
        <w:bidi w:val="0"/>
        <w:adjustRightInd w:val="0"/>
        <w:snapToGrid w:val="0"/>
        <w:spacing w:line="360" w:lineRule="auto"/>
        <w:ind w:firstLine="640" w:firstLineChars="200"/>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评审组工作人员对作品计时，对超时作品酌情扣分。</w:t>
      </w:r>
    </w:p>
    <w:p w14:paraId="3C49FCD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1.音乐类评比标准（分值：100分）</w:t>
      </w:r>
    </w:p>
    <w:p w14:paraId="50E6418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(1)以铸牢中华民族共同体意识为主线，以社会主义核心价值观为引领，紧紧围绕爱党爱国爱社会主义主题，坚持守正创新，突出群众文艺特色，倡导真善美，传递正能量。(10分)</w:t>
      </w:r>
    </w:p>
    <w:p w14:paraId="4592ECF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(2)聚焦新时代、新征程，讴歌党、讴歌祖国、讴歌人民、讴歌新时代、讴歌英雄，用情用力讲好中国故事，体现民族精神和时代精神，展现新时代新气象新作为。(10分)</w:t>
      </w:r>
    </w:p>
    <w:p w14:paraId="5ACB32F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(3)作品主题鲜明，表现手法创新，形式丰富多样，富有艺术表现力和感染力。(20分)</w:t>
      </w:r>
    </w:p>
    <w:p w14:paraId="4345FE7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(4)能够准确把握节奏、音准，音色统一，具有一定技术水准和表演水平，能够较好表达作品内容。(30分)</w:t>
      </w:r>
    </w:p>
    <w:p w14:paraId="132E323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声乐类作品演唱自如，面部表情富自然，表演动作大方得体,声音和谐、均衡；器乐类作品音高、音色、节奏准确，无停顿、错音现象，合奏作品音色统一、和谐，乐曲风格把握准确，音乐表现生动、形象。（30分）</w:t>
      </w:r>
    </w:p>
    <w:p w14:paraId="147EF7D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2.舞蹈类评比标准（分值：100分）</w:t>
      </w:r>
    </w:p>
    <w:p w14:paraId="0796E98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(1)以铸牢中华民族共同体意识为主线，以社会主义核心价值观为引领，紧紧围绕爱党爱国爱社会主义主题，坚持守正创新，突出群众文艺特色，倡导真善美，传递正能量。(10分)</w:t>
      </w:r>
    </w:p>
    <w:p w14:paraId="270F924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(2)聚焦新时代、新征程，讴歌党、讴歌祖国、讴歌人民、讴歌新时代、讴歌英雄，用情用力讲好中国故事，体现民族精神和时代精神，展现新时代新气象新作为。(10分)</w:t>
      </w:r>
    </w:p>
    <w:p w14:paraId="55CB5ED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(3)作品主题鲜明，表现手法创新，形式丰富多样，富有艺术表现力和感染力。(20分)</w:t>
      </w:r>
    </w:p>
    <w:p w14:paraId="1D131E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(4)舞蹈编排兼具原创性和艺术性；灯光、音乐、服装、舞美等设计得当，能够提升舞台整体效果。(30分)</w:t>
      </w:r>
    </w:p>
    <w:p w14:paraId="134071A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(5)表演全过程系统连贯，动作优美大方、整齐规范，表情生动形象，上、下场安排合理。(30分)</w:t>
      </w:r>
    </w:p>
    <w:p w14:paraId="09121E9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p>
    <w:p w14:paraId="175E9B4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戏剧类评比标准（分值：100分）</w:t>
      </w:r>
    </w:p>
    <w:p w14:paraId="0AACA0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(1)以铸牢中华民族共同体意识为主线，以社会主义核心价值观为引领，紧紧围绕爱党爱国爱社会主义主题，坚持守正创新，突出群众文艺特色，倡导真善美，传递正能量。(10分)</w:t>
      </w:r>
    </w:p>
    <w:p w14:paraId="2E064B5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(2)聚焦新时代、新征程，讴歌党、讴歌祖国、讴歌人民、讴歌新时代、讴歌英雄，用情用力讲好中国故事，体现民族精神和时代精神，展现新时代新气象新作为。(10分)</w:t>
      </w:r>
    </w:p>
    <w:p w14:paraId="12FA907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(3)作品主题鲜明，表现手法创新，形式丰富多样，富有艺术表现力和感染力。(20分)</w:t>
      </w:r>
    </w:p>
    <w:p w14:paraId="791D620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(4)内容健康向上，具有一定的戏剧冲突，兼具思想性、艺术性、观赏性，表演具有感染力。（30分）</w:t>
      </w:r>
    </w:p>
    <w:p w14:paraId="1C5A436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(5)戏曲演唱声情并茂、吐词清晰、发音正确、型腔流畅、与伴奏音乐契合者；小品表演符合剧中人物性格特征，对话清晰准确、声情并茂，人物造型把握较好，表演生动逼真。(30分)</w:t>
      </w:r>
    </w:p>
    <w:p w14:paraId="17E83D2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4.曲艺类评比标准（分值：100分）</w:t>
      </w:r>
    </w:p>
    <w:p w14:paraId="33F4945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以铸牢中华民族共同体意识为主线，以铸牢中华民族共同体意识为主线，以社会主义核心价值观为引领，紧紧围绕爱党爱国爱社会主义主题，坚持守正创新，突出群众文艺特色，倡导真善美，传递正能量。(10分)</w:t>
      </w:r>
    </w:p>
    <w:p w14:paraId="106F7D6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(2)聚焦新时代、新征程，讴歌党、讴歌祖国、讴歌人民、讴歌新时代、讴歌英雄，用情用力讲好中国故事，体现民族精神和时代精神，展现新时代新气象新作为。(10分)</w:t>
      </w:r>
    </w:p>
    <w:p w14:paraId="7C8064E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(3)作品主题鲜明，表现手法创新，形式丰富多样，富有艺术表现力和感染力。(20分)</w:t>
      </w:r>
    </w:p>
    <w:p w14:paraId="342A1298">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(4)内容健康向上，形式新颖生动，兼具思想性、艺术性、观赏性，表演具有感染力。(30分)</w:t>
      </w:r>
    </w:p>
    <w:p w14:paraId="38A6966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(5)演员对所表演的曲艺门类有较为准确的把握，表演具有个人或流派特色，能够通过说学逗唱展现独特艺术风格。(30分)</w:t>
      </w:r>
    </w:p>
    <w:p w14:paraId="61DD5B6B">
      <w:pPr>
        <w:pStyle w:val="2"/>
        <w:keepNext w:val="0"/>
        <w:keepLines w:val="0"/>
        <w:pageBreakBefore w:val="0"/>
        <w:kinsoku w:val="0"/>
        <w:wordWrap/>
        <w:topLinePunct w:val="0"/>
        <w:autoSpaceDE w:val="0"/>
        <w:autoSpaceDN w:val="0"/>
        <w:bidi w:val="0"/>
        <w:adjustRightInd w:val="0"/>
        <w:snapToGrid w:val="0"/>
        <w:spacing w:line="360" w:lineRule="auto"/>
        <w:ind w:right="559" w:firstLine="643" w:firstLineChars="200"/>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（五）奖项设置</w:t>
      </w:r>
    </w:p>
    <w:p w14:paraId="1AD2EAF4">
      <w:pPr>
        <w:pStyle w:val="2"/>
        <w:keepNext w:val="0"/>
        <w:keepLines w:val="0"/>
        <w:pageBreakBefore w:val="0"/>
        <w:kinsoku w:val="0"/>
        <w:wordWrap/>
        <w:topLinePunct w:val="0"/>
        <w:autoSpaceDE w:val="0"/>
        <w:autoSpaceDN w:val="0"/>
        <w:bidi w:val="0"/>
        <w:adjustRightInd w:val="0"/>
        <w:snapToGrid w:val="0"/>
        <w:spacing w:line="360" w:lineRule="auto"/>
        <w:ind w:right="559" w:firstLine="640" w:firstLineChars="200"/>
        <w:rPr>
          <w:rFonts w:hint="default"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b w:val="0"/>
          <w:bCs w:val="0"/>
          <w:snapToGrid w:val="0"/>
          <w:color w:val="000000"/>
          <w:sz w:val="32"/>
          <w:szCs w:val="32"/>
          <w:lang w:val="en-US" w:eastAsia="zh-CN" w:bidi="ar-SA"/>
        </w:rPr>
        <w:t>此次选拔赛不设奖项，按排名顺序拟报送各门类前5名进入全国复赛（此报送数量参照第十九届全国群星奖比赛通知要求，具体报送数量以第二十届全国群星奖通知为准）。</w:t>
      </w:r>
    </w:p>
    <w:p w14:paraId="27DBBEC6">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leftChars="0" w:right="559" w:rightChars="0" w:firstLine="643" w:firstLineChars="200"/>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五、公证机构</w:t>
      </w:r>
    </w:p>
    <w:p w14:paraId="71C697BF">
      <w:pPr>
        <w:pStyle w:val="2"/>
        <w:keepNext w:val="0"/>
        <w:keepLines w:val="0"/>
        <w:pageBreakBefore w:val="0"/>
        <w:kinsoku w:val="0"/>
        <w:wordWrap/>
        <w:topLinePunct w:val="0"/>
        <w:autoSpaceDE w:val="0"/>
        <w:autoSpaceDN w:val="0"/>
        <w:bidi w:val="0"/>
        <w:adjustRightInd w:val="0"/>
        <w:snapToGrid w:val="0"/>
        <w:spacing w:line="360" w:lineRule="auto"/>
        <w:ind w:firstLine="640" w:firstLineChars="200"/>
        <w:jc w:val="both"/>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第二十届群星奖宁夏地区选拔赛由银川市国信公证处进行现场监督公证。</w:t>
      </w:r>
    </w:p>
    <w:p w14:paraId="79E3A0CD">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leftChars="0" w:right="559" w:rightChars="0" w:firstLine="643" w:firstLineChars="200"/>
        <w:rPr>
          <w:rFonts w:hint="eastAsia" w:ascii="仿宋_GB2312" w:hAnsi="仿宋_GB2312" w:eastAsia="仿宋_GB2312" w:cs="仿宋_GB2312"/>
          <w:b/>
          <w:bCs/>
          <w:snapToGrid w:val="0"/>
          <w:color w:val="000000"/>
          <w:sz w:val="32"/>
          <w:szCs w:val="32"/>
          <w:lang w:val="en-US" w:eastAsia="zh-CN" w:bidi="ar-SA"/>
        </w:rPr>
      </w:pPr>
      <w:r>
        <w:rPr>
          <w:rFonts w:hint="eastAsia" w:ascii="仿宋_GB2312" w:hAnsi="仿宋_GB2312" w:eastAsia="仿宋_GB2312" w:cs="仿宋_GB2312"/>
          <w:b/>
          <w:bCs/>
          <w:snapToGrid w:val="0"/>
          <w:color w:val="000000"/>
          <w:sz w:val="32"/>
          <w:szCs w:val="32"/>
          <w:lang w:val="en-US" w:eastAsia="zh-CN" w:bidi="ar-SA"/>
        </w:rPr>
        <w:t>六、其他说明</w:t>
      </w:r>
    </w:p>
    <w:p w14:paraId="092ED746">
      <w:pPr>
        <w:pStyle w:val="2"/>
        <w:keepNext w:val="0"/>
        <w:keepLines w:val="0"/>
        <w:pageBreakBefore w:val="0"/>
        <w:numPr>
          <w:ilvl w:val="0"/>
          <w:numId w:val="0"/>
        </w:numPr>
        <w:kinsoku w:val="0"/>
        <w:wordWrap/>
        <w:topLinePunct w:val="0"/>
        <w:autoSpaceDE w:val="0"/>
        <w:autoSpaceDN w:val="0"/>
        <w:bidi w:val="0"/>
        <w:adjustRightInd w:val="0"/>
        <w:snapToGrid w:val="0"/>
        <w:spacing w:line="360" w:lineRule="auto"/>
        <w:ind w:left="0" w:leftChars="0" w:right="559" w:rightChars="0" w:firstLine="640" w:firstLineChars="200"/>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本次活动最终解释权归宁夏回族自治区文化和旅游厅。</w:t>
      </w:r>
    </w:p>
    <w:p w14:paraId="2A00A67F">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firstLine="5760" w:firstLineChars="1800"/>
        <w:rPr>
          <w:rFonts w:hint="eastAsia" w:ascii="仿宋_GB2312" w:hAnsi="仿宋_GB2312" w:eastAsia="仿宋_GB2312" w:cs="仿宋_GB2312"/>
          <w:sz w:val="32"/>
          <w:szCs w:val="32"/>
          <w:lang w:val="en-US" w:eastAsia="zh-CN"/>
        </w:rPr>
      </w:pPr>
    </w:p>
    <w:p w14:paraId="0B5483CD">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rPr>
          <w:rFonts w:hint="eastAsia" w:ascii="仿宋_GB2312" w:hAnsi="仿宋_GB2312" w:eastAsia="仿宋_GB2312" w:cs="仿宋_GB2312"/>
          <w:sz w:val="32"/>
          <w:szCs w:val="32"/>
          <w:lang w:val="en-US" w:eastAsia="zh-CN"/>
        </w:rPr>
      </w:pPr>
    </w:p>
    <w:p w14:paraId="5D4DF937">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rPr>
          <w:rFonts w:hint="eastAsia" w:ascii="仿宋_GB2312" w:hAnsi="仿宋_GB2312" w:eastAsia="仿宋_GB2312" w:cs="仿宋_GB2312"/>
          <w:sz w:val="32"/>
          <w:szCs w:val="32"/>
          <w:lang w:val="en-US" w:eastAsia="zh-CN"/>
        </w:rPr>
      </w:pPr>
    </w:p>
    <w:p w14:paraId="1B7F7FCE">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rPr>
          <w:rFonts w:hint="eastAsia" w:ascii="仿宋_GB2312" w:hAnsi="仿宋_GB2312" w:eastAsia="仿宋_GB2312" w:cs="仿宋_GB2312"/>
          <w:sz w:val="32"/>
          <w:szCs w:val="32"/>
          <w:lang w:val="en-US" w:eastAsia="zh-CN"/>
        </w:rPr>
      </w:pPr>
    </w:p>
    <w:p w14:paraId="6189BB81">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宁夏回族自治区文化和旅游厅</w:t>
      </w:r>
    </w:p>
    <w:p w14:paraId="29221958">
      <w:pPr>
        <w:pStyle w:val="2"/>
        <w:keepNext w:val="0"/>
        <w:keepLines w:val="0"/>
        <w:pageBreakBefore w:val="0"/>
        <w:numPr>
          <w:ilvl w:val="0"/>
          <w:numId w:val="0"/>
        </w:numPr>
        <w:kinsoku w:val="0"/>
        <w:wordWrap/>
        <w:topLinePunct w:val="0"/>
        <w:autoSpaceDE w:val="0"/>
        <w:autoSpaceDN w:val="0"/>
        <w:bidi w:val="0"/>
        <w:adjustRightInd w:val="0"/>
        <w:snapToGrid w:val="0"/>
        <w:spacing w:line="30" w:lineRule="atLeast"/>
        <w:ind w:right="559" w:rightChars="0"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2025年2月10日</w:t>
      </w:r>
    </w:p>
    <w:p w14:paraId="65746AAD">
      <w:pPr>
        <w:pStyle w:val="2"/>
        <w:numPr>
          <w:ilvl w:val="0"/>
          <w:numId w:val="0"/>
        </w:numPr>
        <w:spacing w:before="150" w:line="227" w:lineRule="auto"/>
        <w:ind w:left="628" w:leftChars="0" w:right="559" w:rightChars="0"/>
        <w:rPr>
          <w:rFonts w:hint="default"/>
          <w:sz w:val="32"/>
          <w:szCs w:val="32"/>
          <w:lang w:val="en-US" w:eastAsia="zh-CN"/>
        </w:rPr>
      </w:pPr>
      <w:r>
        <w:rPr>
          <w:rFonts w:hint="eastAsia"/>
          <w:sz w:val="32"/>
          <w:szCs w:val="32"/>
          <w:lang w:val="en-US" w:eastAsia="zh-CN"/>
        </w:rPr>
        <w:t xml:space="preserve">   </w:t>
      </w:r>
    </w:p>
    <w:p w14:paraId="5B89D477">
      <w:pPr>
        <w:jc w:val="left"/>
        <w:rPr>
          <w:rFonts w:hint="eastAsia" w:ascii="仿宋_GB2312" w:hAnsi="仿宋_GB2312" w:eastAsia="仿宋_GB2312" w:cs="仿宋_GB2312"/>
          <w:b w:val="0"/>
          <w:bCs w:val="0"/>
          <w:sz w:val="32"/>
          <w:szCs w:val="32"/>
          <w:lang w:val="en-US" w:eastAsia="zh-CN"/>
        </w:rPr>
      </w:pPr>
    </w:p>
    <w:p w14:paraId="791F3347"/>
    <w:sectPr>
      <w:pgSz w:w="11906" w:h="16838"/>
      <w:pgMar w:top="1417" w:right="158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0654"/>
    <w:multiLevelType w:val="singleLevel"/>
    <w:tmpl w:val="848C0654"/>
    <w:lvl w:ilvl="0" w:tentative="0">
      <w:start w:val="2"/>
      <w:numFmt w:val="chineseCounting"/>
      <w:suff w:val="nothing"/>
      <w:lvlText w:val="%1、"/>
      <w:lvlJc w:val="left"/>
      <w:rPr>
        <w:rFonts w:hint="eastAsia"/>
      </w:rPr>
    </w:lvl>
  </w:abstractNum>
  <w:abstractNum w:abstractNumId="1">
    <w:nsid w:val="E344ED90"/>
    <w:multiLevelType w:val="singleLevel"/>
    <w:tmpl w:val="E344ED90"/>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6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2849</Words>
  <Characters>2989</Characters>
  <Lines>0</Lines>
  <Paragraphs>0</Paragraphs>
  <TotalTime>3</TotalTime>
  <ScaleCrop>false</ScaleCrop>
  <LinksUpToDate>false</LinksUpToDate>
  <CharactersWithSpaces>3001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2025-02-08T15:53:00Z</dcterms:created>
  <dc:creator>lenovo</dc:creator>
  <cp:lastModifiedBy>serein.</cp:lastModifiedBy>
  <cp:lastPrinted>2025-02-10T09:11:00Z</cp:lastPrinted>
  <dcterms:modified xsi:type="dcterms:W3CDTF">2025-02-13T15:59:22Z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eyJoZGlkIjoiOTEzNmY1MDU5YmNlZTM0Mjk3MjM0MmYxODhkMzY0Y2EiLCJ1c2VySWQiOiIzNDcxOTU0OTYifQ==</vt:lpwstr>
  </property>
  <property fmtid="{D5CDD505-2E9C-101B-9397-08002B2CF9AE}" pid="4" name="ICV">
    <vt:lpwstr>B378164187644067A28EE16F262CBF20_13</vt:lpwstr>
  </property>
</Properties>
</file>