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adjustRightInd/>
        <w:spacing w:line="400" w:lineRule="exact"/>
        <w:ind w:right="0" w:rightChars="0"/>
        <w:jc w:val="center"/>
        <w:rPr>
          <w:rFonts w:hint="eastAsia" w:ascii="方正小标宋_GBK" w:hAnsi="方正小标宋_GBK" w:eastAsia="方正小标宋_GBK" w:cs="方正小标宋_GBK"/>
          <w:sz w:val="36"/>
          <w:szCs w:val="36"/>
          <w:lang w:eastAsia="zh-CN"/>
        </w:rPr>
      </w:pPr>
      <w:bookmarkStart w:id="0" w:name="_Toc43915202"/>
      <w:r>
        <w:rPr>
          <w:rFonts w:hint="eastAsia" w:ascii="方正小标宋_GBK" w:hAnsi="方正小标宋_GBK" w:eastAsia="方正小标宋_GBK" w:cs="方正小标宋_GBK"/>
          <w:sz w:val="36"/>
          <w:szCs w:val="36"/>
          <w:lang w:val="en-US" w:eastAsia="zh-CN"/>
        </w:rPr>
        <w:t>2024西安丝绸之路国际旅游博览会</w:t>
      </w:r>
      <w:r>
        <w:rPr>
          <w:rFonts w:hint="eastAsia" w:ascii="方正小标宋_GBK" w:hAnsi="方正小标宋_GBK" w:eastAsia="方正小标宋_GBK" w:cs="方正小标宋_GBK"/>
          <w:sz w:val="36"/>
          <w:szCs w:val="36"/>
          <w:lang w:eastAsia="zh-CN"/>
        </w:rPr>
        <w:t>展台搭建</w:t>
      </w:r>
      <w:r>
        <w:rPr>
          <w:rFonts w:hint="eastAsia" w:ascii="方正小标宋_GBK" w:hAnsi="方正小标宋_GBK" w:eastAsia="方正小标宋_GBK" w:cs="方正小标宋_GBK"/>
          <w:sz w:val="36"/>
          <w:szCs w:val="36"/>
        </w:rPr>
        <w:t>评分</w:t>
      </w:r>
      <w:bookmarkEnd w:id="0"/>
      <w:r>
        <w:rPr>
          <w:rFonts w:hint="eastAsia" w:ascii="方正小标宋_GBK" w:hAnsi="方正小标宋_GBK" w:eastAsia="方正小标宋_GBK" w:cs="方正小标宋_GBK"/>
          <w:sz w:val="36"/>
          <w:szCs w:val="36"/>
          <w:lang w:eastAsia="zh-CN"/>
        </w:rPr>
        <w:t>表</w:t>
      </w:r>
    </w:p>
    <w:p>
      <w:pPr>
        <w:rPr>
          <w:rFonts w:hint="eastAsia" w:ascii="方正小标宋_GBK" w:hAnsi="方正小标宋_GBK" w:eastAsia="方正小标宋_GBK" w:cs="方正小标宋_GBK"/>
          <w:sz w:val="36"/>
          <w:szCs w:val="36"/>
          <w:lang w:eastAsia="zh-CN"/>
        </w:rPr>
      </w:pPr>
    </w:p>
    <w:tbl>
      <w:tblPr>
        <w:tblStyle w:val="8"/>
        <w:tblW w:w="8758" w:type="dxa"/>
        <w:tblInd w:w="5" w:type="dxa"/>
        <w:tblLayout w:type="fixed"/>
        <w:tblCellMar>
          <w:top w:w="0" w:type="dxa"/>
          <w:left w:w="0" w:type="dxa"/>
          <w:bottom w:w="0" w:type="dxa"/>
          <w:right w:w="0" w:type="dxa"/>
        </w:tblCellMar>
      </w:tblPr>
      <w:tblGrid>
        <w:gridCol w:w="766"/>
        <w:gridCol w:w="691"/>
        <w:gridCol w:w="682"/>
        <w:gridCol w:w="6619"/>
      </w:tblGrid>
      <w:tr>
        <w:tblPrEx>
          <w:tblCellMar>
            <w:top w:w="0" w:type="dxa"/>
            <w:left w:w="0" w:type="dxa"/>
            <w:bottom w:w="0" w:type="dxa"/>
            <w:right w:w="0" w:type="dxa"/>
          </w:tblCellMar>
        </w:tblPrEx>
        <w:trPr>
          <w:trHeight w:val="623"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177"/>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序号</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388"/>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标准分</w:t>
            </w:r>
          </w:p>
        </w:tc>
        <w:tc>
          <w:tcPr>
            <w:tcW w:w="661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3134"/>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评分标准</w:t>
            </w:r>
          </w:p>
        </w:tc>
      </w:tr>
      <w:tr>
        <w:tblPrEx>
          <w:tblCellMar>
            <w:top w:w="0" w:type="dxa"/>
            <w:left w:w="0" w:type="dxa"/>
            <w:bottom w:w="0" w:type="dxa"/>
            <w:right w:w="0" w:type="dxa"/>
          </w:tblCellMar>
        </w:tblPrEx>
        <w:trPr>
          <w:trHeight w:val="1898"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比选</w:t>
            </w:r>
          </w:p>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107" w:firstLine="400" w:firstLineChars="200"/>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比选基准价是指满足招标文件要求且投标价格最低的投标报价。除低于成本价的投标报价被拒绝外，最低报价得10 分。其他投标人的价格分统一按照下列公式计算：投标报价得分=（评标基准价/投标报价）×10。对于高于项目预算金额的投标报价不予接受，视为无效投标。注：计算分数时四舍五入取小数点后两位。</w:t>
            </w:r>
            <w:r>
              <w:rPr>
                <w:rFonts w:hint="eastAsia" w:asciiTheme="majorEastAsia" w:hAnsiTheme="majorEastAsia" w:eastAsiaTheme="majorEastAsia" w:cstheme="majorEastAsia"/>
                <w:color w:val="000000"/>
                <w:kern w:val="0"/>
                <w:sz w:val="20"/>
                <w:lang w:eastAsia="zh-CN"/>
              </w:rPr>
              <w:br w:type="textWrapping"/>
            </w:r>
            <w:r>
              <w:rPr>
                <w:rFonts w:hint="eastAsia" w:asciiTheme="majorEastAsia" w:hAnsiTheme="majorEastAsia" w:eastAsiaTheme="majorEastAsia" w:cstheme="majorEastAsia"/>
                <w:color w:val="000000"/>
                <w:kern w:val="0"/>
                <w:sz w:val="20"/>
              </w:rPr>
              <w:t>。</w:t>
            </w:r>
          </w:p>
        </w:tc>
      </w:tr>
      <w:tr>
        <w:tblPrEx>
          <w:tblCellMar>
            <w:top w:w="0" w:type="dxa"/>
            <w:left w:w="0" w:type="dxa"/>
            <w:bottom w:w="0" w:type="dxa"/>
            <w:right w:w="0" w:type="dxa"/>
          </w:tblCellMar>
        </w:tblPrEx>
        <w:trPr>
          <w:trHeight w:val="1191"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商务标响应</w:t>
            </w:r>
          </w:p>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程度</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5分</w:t>
            </w:r>
          </w:p>
        </w:tc>
        <w:tc>
          <w:tcPr>
            <w:tcW w:w="6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107"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不能实质性满足招标文件重要上午条款要求的为无效标书。</w:t>
            </w:r>
            <w:r>
              <w:rPr>
                <w:rFonts w:hint="eastAsia" w:asciiTheme="majorEastAsia" w:hAnsiTheme="majorEastAsia" w:eastAsiaTheme="majorEastAsia" w:cstheme="majorEastAsia"/>
                <w:color w:val="000000"/>
                <w:kern w:val="0"/>
                <w:sz w:val="20"/>
              </w:rPr>
              <w:t>满足招标文件商务条款的得3分，以此为基础，投标人商务条款优于招标文件规定的相应商务条款的，每有一项加1分，加分至标准分时为止。</w:t>
            </w:r>
          </w:p>
        </w:tc>
      </w:tr>
      <w:tr>
        <w:tblPrEx>
          <w:tblCellMar>
            <w:top w:w="0" w:type="dxa"/>
            <w:left w:w="0" w:type="dxa"/>
            <w:bottom w:w="0" w:type="dxa"/>
            <w:right w:w="0" w:type="dxa"/>
          </w:tblCellMar>
        </w:tblPrEx>
        <w:trPr>
          <w:trHeight w:val="1217"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类似</w:t>
            </w:r>
          </w:p>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业绩</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1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ind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近三年（20</w:t>
            </w:r>
            <w:r>
              <w:rPr>
                <w:rFonts w:hint="default" w:asciiTheme="majorEastAsia" w:hAnsiTheme="majorEastAsia" w:eastAsiaTheme="majorEastAsia" w:cstheme="majorEastAsia"/>
                <w:color w:val="000000"/>
                <w:kern w:val="0"/>
                <w:sz w:val="20"/>
                <w:lang w:val="en"/>
              </w:rPr>
              <w:t>21</w:t>
            </w:r>
            <w:r>
              <w:rPr>
                <w:rFonts w:hint="eastAsia" w:asciiTheme="majorEastAsia" w:hAnsiTheme="majorEastAsia" w:eastAsiaTheme="majorEastAsia" w:cstheme="majorEastAsia"/>
                <w:color w:val="000000"/>
                <w:kern w:val="0"/>
                <w:sz w:val="20"/>
              </w:rPr>
              <w:t>年至今）每有一项同类项目业绩的得2分，得够标准分为止。</w:t>
            </w:r>
          </w:p>
          <w:p>
            <w:pPr>
              <w:autoSpaceDE w:val="0"/>
              <w:autoSpaceDN w:val="0"/>
              <w:adjustRightInd w:val="0"/>
              <w:spacing w:line="37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b/>
                <w:bCs/>
                <w:color w:val="000000"/>
                <w:kern w:val="0"/>
                <w:sz w:val="20"/>
              </w:rPr>
              <w:t>备注：须在投标文件正副本中附中标通知书复印件或合同复印件并加盖投标单位鲜章，未按要求提供的或者提供不全的不得分</w:t>
            </w:r>
            <w:r>
              <w:rPr>
                <w:rFonts w:hint="eastAsia" w:asciiTheme="majorEastAsia" w:hAnsiTheme="majorEastAsia" w:eastAsiaTheme="majorEastAsia" w:cstheme="majorEastAsia"/>
                <w:color w:val="000000"/>
                <w:kern w:val="0"/>
                <w:sz w:val="20"/>
              </w:rPr>
              <w:t>。</w:t>
            </w:r>
          </w:p>
        </w:tc>
      </w:tr>
      <w:tr>
        <w:tblPrEx>
          <w:tblCellMar>
            <w:top w:w="0" w:type="dxa"/>
            <w:left w:w="0" w:type="dxa"/>
            <w:bottom w:w="0" w:type="dxa"/>
            <w:right w:w="0" w:type="dxa"/>
          </w:tblCellMar>
        </w:tblPrEx>
        <w:trPr>
          <w:trHeight w:val="3872" w:hRule="exact"/>
        </w:trPr>
        <w:tc>
          <w:tcPr>
            <w:tcW w:w="766" w:type="dxa"/>
            <w:vMerge w:val="restart"/>
            <w:tcBorders>
              <w:top w:val="single" w:color="000000" w:sz="4" w:space="0"/>
              <w:left w:val="single" w:color="auto" w:sz="4" w:space="0"/>
              <w:bottom w:val="single" w:color="auto"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pPr>
              <w:autoSpaceDE w:val="0"/>
              <w:autoSpaceDN w:val="0"/>
              <w:adjustRightInd w:val="0"/>
              <w:spacing w:line="720"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691" w:type="dxa"/>
            <w:vMerge w:val="restart"/>
            <w:tcBorders>
              <w:top w:val="single" w:color="000000" w:sz="4" w:space="0"/>
              <w:left w:val="single" w:color="000000" w:sz="4" w:space="0"/>
              <w:bottom w:val="single" w:color="auto" w:sz="4" w:space="0"/>
              <w:right w:val="single" w:color="000000" w:sz="4" w:space="0"/>
            </w:tcBorders>
            <w:shd w:val="clear" w:color="auto" w:fill="FFFFFF"/>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执行</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方案</w:t>
            </w:r>
          </w:p>
        </w:tc>
        <w:tc>
          <w:tcPr>
            <w:tcW w:w="682" w:type="dxa"/>
            <w:vMerge w:val="restart"/>
            <w:tcBorders>
              <w:top w:val="single" w:color="000000" w:sz="4" w:space="0"/>
              <w:left w:val="single" w:color="000000" w:sz="4" w:space="0"/>
              <w:bottom w:val="single" w:color="auto" w:sz="4" w:space="0"/>
              <w:right w:val="single" w:color="auto" w:sz="4" w:space="0"/>
            </w:tcBorders>
            <w:shd w:val="clear" w:color="auto" w:fill="FFFFFF"/>
          </w:tcPr>
          <w:p>
            <w:pPr>
              <w:autoSpaceDE w:val="0"/>
              <w:autoSpaceDN w:val="0"/>
              <w:adjustRightInd w:val="0"/>
              <w:spacing w:line="5111" w:lineRule="exact"/>
              <w:ind w:left="13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65分</w:t>
            </w:r>
          </w:p>
        </w:tc>
        <w:tc>
          <w:tcPr>
            <w:tcW w:w="6619"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line="33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 xml:space="preserve">（1）参展策划、现场布置及执行方案      </w:t>
            </w:r>
            <w:r>
              <w:rPr>
                <w:rFonts w:hint="default" w:asciiTheme="majorEastAsia" w:hAnsiTheme="majorEastAsia" w:eastAsiaTheme="majorEastAsia" w:cstheme="majorEastAsia"/>
                <w:color w:val="000000"/>
                <w:kern w:val="0"/>
                <w:sz w:val="20"/>
                <w:lang w:val="en"/>
              </w:rPr>
              <w:t>5</w:t>
            </w:r>
            <w:r>
              <w:rPr>
                <w:rFonts w:hint="eastAsia" w:asciiTheme="majorEastAsia" w:hAnsiTheme="majorEastAsia" w:eastAsiaTheme="majorEastAsia" w:cstheme="majorEastAsia"/>
                <w:color w:val="000000"/>
                <w:kern w:val="0"/>
                <w:sz w:val="20"/>
              </w:rPr>
              <w:t>0分</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能够</w:t>
            </w:r>
            <w:r>
              <w:rPr>
                <w:rFonts w:hint="eastAsia" w:asciiTheme="majorEastAsia" w:hAnsiTheme="majorEastAsia" w:eastAsiaTheme="majorEastAsia" w:cstheme="majorEastAsia"/>
                <w:color w:val="000000"/>
                <w:kern w:val="0"/>
                <w:sz w:val="20"/>
                <w:lang w:val="en-US" w:eastAsia="zh-CN"/>
              </w:rPr>
              <w:t>围绕宁夏二十一景以及宁夏的黄河文化、星星故乡、酒庄休闲、红色主题、长城遗址、动感体验等六大品牌形象、进行设计策划。</w:t>
            </w:r>
            <w:r>
              <w:rPr>
                <w:rFonts w:hint="eastAsia" w:asciiTheme="majorEastAsia" w:hAnsiTheme="majorEastAsia" w:eastAsiaTheme="majorEastAsia" w:cstheme="majorEastAsia"/>
                <w:color w:val="000000"/>
                <w:kern w:val="0"/>
                <w:sz w:val="20"/>
              </w:rPr>
              <w:t>搭建设计亮点突出、具有创新性和实效性，旅游图片展示和非遗项目、旅游文创商品展特色鲜明，可操作性强。</w:t>
            </w:r>
            <w:bookmarkStart w:id="1" w:name="_GoBack"/>
            <w:bookmarkEnd w:id="1"/>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a.</w:t>
            </w:r>
            <w:r>
              <w:rPr>
                <w:rFonts w:hint="eastAsia" w:asciiTheme="majorEastAsia" w:hAnsiTheme="majorEastAsia" w:eastAsiaTheme="majorEastAsia" w:cstheme="majorEastAsia"/>
                <w:color w:val="000000"/>
                <w:kern w:val="0"/>
                <w:sz w:val="20"/>
                <w:lang w:eastAsia="zh-CN"/>
              </w:rPr>
              <w:t>设计</w:t>
            </w:r>
            <w:r>
              <w:rPr>
                <w:rFonts w:hint="eastAsia" w:asciiTheme="majorEastAsia" w:hAnsiTheme="majorEastAsia" w:eastAsiaTheme="majorEastAsia" w:cstheme="majorEastAsia"/>
                <w:color w:val="000000"/>
                <w:kern w:val="0"/>
                <w:sz w:val="20"/>
              </w:rPr>
              <w:t>方案清晰，详细具体，符合服务技术需求，创新性和可操作性强，得</w:t>
            </w:r>
            <w:r>
              <w:rPr>
                <w:rFonts w:hint="default" w:asciiTheme="majorEastAsia" w:hAnsiTheme="majorEastAsia" w:eastAsiaTheme="majorEastAsia" w:cstheme="majorEastAsia"/>
                <w:color w:val="000000"/>
                <w:kern w:val="0"/>
                <w:sz w:val="20"/>
                <w:lang w:val="en"/>
              </w:rPr>
              <w:t>5</w:t>
            </w:r>
            <w:r>
              <w:rPr>
                <w:rFonts w:hint="eastAsia" w:asciiTheme="majorEastAsia" w:hAnsiTheme="majorEastAsia" w:eastAsiaTheme="majorEastAsia" w:cstheme="majorEastAsia"/>
                <w:color w:val="000000"/>
                <w:kern w:val="0"/>
                <w:sz w:val="20"/>
              </w:rPr>
              <w:t xml:space="preserve">0分；b.方案设计合理，符合服务技术需求，有创意和创新，具备可操作性，得 </w:t>
            </w:r>
            <w:r>
              <w:rPr>
                <w:rFonts w:hint="default" w:asciiTheme="majorEastAsia" w:hAnsiTheme="majorEastAsia" w:eastAsiaTheme="majorEastAsia" w:cstheme="majorEastAsia"/>
                <w:color w:val="000000"/>
                <w:kern w:val="0"/>
                <w:sz w:val="20"/>
                <w:lang w:val="en"/>
              </w:rPr>
              <w:t>40</w:t>
            </w:r>
            <w:r>
              <w:rPr>
                <w:rFonts w:hint="eastAsia" w:asciiTheme="majorEastAsia" w:hAnsiTheme="majorEastAsia" w:eastAsiaTheme="majorEastAsia" w:cstheme="majorEastAsia"/>
                <w:color w:val="000000"/>
                <w:kern w:val="0"/>
                <w:sz w:val="20"/>
              </w:rPr>
              <w:t>分；c.方案设计合理，</w:t>
            </w:r>
            <w:r>
              <w:rPr>
                <w:rFonts w:hint="eastAsia" w:asciiTheme="majorEastAsia" w:hAnsiTheme="majorEastAsia" w:eastAsiaTheme="majorEastAsia" w:cstheme="majorEastAsia"/>
                <w:color w:val="000000"/>
                <w:kern w:val="0"/>
                <w:sz w:val="20"/>
                <w:lang w:eastAsia="zh-CN"/>
              </w:rPr>
              <w:t>基本</w:t>
            </w:r>
            <w:r>
              <w:rPr>
                <w:rFonts w:hint="eastAsia" w:asciiTheme="majorEastAsia" w:hAnsiTheme="majorEastAsia" w:eastAsiaTheme="majorEastAsia" w:cstheme="majorEastAsia"/>
                <w:color w:val="000000"/>
                <w:kern w:val="0"/>
                <w:sz w:val="20"/>
              </w:rPr>
              <w:t>符合服务技术需求，有</w:t>
            </w:r>
            <w:r>
              <w:rPr>
                <w:rFonts w:hint="eastAsia" w:asciiTheme="majorEastAsia" w:hAnsiTheme="majorEastAsia" w:eastAsiaTheme="majorEastAsia" w:cstheme="majorEastAsia"/>
                <w:color w:val="000000"/>
                <w:kern w:val="0"/>
                <w:sz w:val="20"/>
                <w:lang w:eastAsia="zh-CN"/>
              </w:rPr>
              <w:t>一定</w:t>
            </w:r>
            <w:r>
              <w:rPr>
                <w:rFonts w:hint="eastAsia" w:asciiTheme="majorEastAsia" w:hAnsiTheme="majorEastAsia" w:eastAsiaTheme="majorEastAsia" w:cstheme="majorEastAsia"/>
                <w:color w:val="000000"/>
                <w:kern w:val="0"/>
                <w:sz w:val="20"/>
              </w:rPr>
              <w:t xml:space="preserve">创意和创新，具备可操作性，得 </w:t>
            </w:r>
            <w:r>
              <w:rPr>
                <w:rFonts w:hint="eastAsia" w:asciiTheme="majorEastAsia" w:hAnsiTheme="majorEastAsia" w:eastAsiaTheme="majorEastAsia" w:cstheme="majorEastAsia"/>
                <w:color w:val="000000"/>
                <w:kern w:val="0"/>
                <w:sz w:val="20"/>
                <w:lang w:val="en-US" w:eastAsia="zh-CN"/>
              </w:rPr>
              <w:t>3</w:t>
            </w:r>
            <w:r>
              <w:rPr>
                <w:rFonts w:hint="default" w:asciiTheme="majorEastAsia" w:hAnsiTheme="majorEastAsia" w:eastAsiaTheme="majorEastAsia" w:cstheme="majorEastAsia"/>
                <w:color w:val="000000"/>
                <w:kern w:val="0"/>
                <w:sz w:val="20"/>
                <w:lang w:val="en"/>
              </w:rPr>
              <w:t>0</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val="en-US" w:eastAsia="zh-CN"/>
              </w:rPr>
              <w:t>d.</w:t>
            </w:r>
            <w:r>
              <w:rPr>
                <w:rFonts w:hint="eastAsia" w:asciiTheme="majorEastAsia" w:hAnsiTheme="majorEastAsia" w:eastAsiaTheme="majorEastAsia" w:cstheme="majorEastAsia"/>
                <w:color w:val="000000"/>
                <w:kern w:val="0"/>
                <w:sz w:val="20"/>
              </w:rPr>
              <w:t>方案可操作性一般，设计合理，创意和效果一般，得</w:t>
            </w:r>
            <w:r>
              <w:rPr>
                <w:rFonts w:hint="eastAsia" w:asciiTheme="majorEastAsia" w:hAnsiTheme="majorEastAsia" w:eastAsiaTheme="majorEastAsia" w:cstheme="majorEastAsia"/>
                <w:color w:val="000000"/>
                <w:kern w:val="0"/>
                <w:sz w:val="20"/>
                <w:lang w:val="en-US" w:eastAsia="zh-CN"/>
              </w:rPr>
              <w:t>2</w:t>
            </w:r>
            <w:r>
              <w:rPr>
                <w:rFonts w:hint="eastAsia" w:asciiTheme="majorEastAsia" w:hAnsiTheme="majorEastAsia" w:eastAsiaTheme="majorEastAsia" w:cstheme="majorEastAsia"/>
                <w:color w:val="000000"/>
                <w:kern w:val="0"/>
                <w:sz w:val="20"/>
              </w:rPr>
              <w:t>0分</w:t>
            </w:r>
            <w:r>
              <w:rPr>
                <w:rFonts w:hint="eastAsia" w:asciiTheme="majorEastAsia" w:hAnsiTheme="majorEastAsia" w:eastAsiaTheme="majorEastAsia" w:cstheme="majorEastAsia"/>
                <w:color w:val="000000"/>
                <w:kern w:val="0"/>
                <w:sz w:val="20"/>
                <w:lang w:val="en-US" w:eastAsia="zh-CN"/>
              </w:rPr>
              <w:t>; e.没有不得分。</w:t>
            </w:r>
            <w:r>
              <w:rPr>
                <w:rFonts w:hint="eastAsia" w:asciiTheme="majorEastAsia" w:hAnsiTheme="majorEastAsia" w:eastAsiaTheme="majorEastAsia" w:cstheme="majorEastAsia"/>
                <w:color w:val="000000"/>
                <w:kern w:val="0"/>
                <w:sz w:val="20"/>
              </w:rPr>
              <w:t>d.没有方案不得分。</w:t>
            </w:r>
          </w:p>
        </w:tc>
      </w:tr>
      <w:tr>
        <w:tblPrEx>
          <w:tblCellMar>
            <w:top w:w="0" w:type="dxa"/>
            <w:left w:w="0" w:type="dxa"/>
            <w:bottom w:w="0" w:type="dxa"/>
            <w:right w:w="0" w:type="dxa"/>
          </w:tblCellMar>
        </w:tblPrEx>
        <w:trPr>
          <w:trHeight w:val="712" w:hRule="exact"/>
        </w:trPr>
        <w:tc>
          <w:tcPr>
            <w:tcW w:w="766" w:type="dxa"/>
            <w:vMerge w:val="continue"/>
            <w:tcBorders>
              <w:top w:val="single" w:color="auto" w:sz="4" w:space="0"/>
              <w:left w:val="single" w:color="auto" w:sz="4" w:space="0"/>
              <w:bottom w:val="single" w:color="auto"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691" w:type="dxa"/>
            <w:vMerge w:val="continue"/>
            <w:tcBorders>
              <w:top w:val="single" w:color="auto" w:sz="4" w:space="0"/>
              <w:left w:val="single" w:color="000000" w:sz="4" w:space="0"/>
              <w:bottom w:val="single" w:color="auto"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项目</w:t>
            </w:r>
          </w:p>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方案</w:t>
            </w: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FFFFFF"/>
          </w:tcPr>
          <w:p>
            <w:pPr>
              <w:autoSpaceDE w:val="0"/>
              <w:autoSpaceDN w:val="0"/>
              <w:adjustRightInd w:val="0"/>
              <w:spacing w:line="5111" w:lineRule="exact"/>
              <w:ind w:left="13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75 分</w:t>
            </w:r>
          </w:p>
        </w:tc>
        <w:tc>
          <w:tcPr>
            <w:tcW w:w="6619"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line="33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w:t>
            </w:r>
            <w:r>
              <w:rPr>
                <w:rFonts w:hint="default" w:asciiTheme="majorEastAsia" w:hAnsiTheme="majorEastAsia" w:eastAsiaTheme="majorEastAsia" w:cstheme="majorEastAsia"/>
                <w:color w:val="000000"/>
                <w:kern w:val="0"/>
                <w:sz w:val="20"/>
                <w:lang w:val="en"/>
              </w:rPr>
              <w:t>2</w:t>
            </w:r>
            <w:r>
              <w:rPr>
                <w:rFonts w:hint="eastAsia" w:asciiTheme="majorEastAsia" w:hAnsiTheme="majorEastAsia" w:eastAsiaTheme="majorEastAsia" w:cstheme="majorEastAsia"/>
                <w:color w:val="000000"/>
                <w:kern w:val="0"/>
                <w:sz w:val="20"/>
              </w:rPr>
              <w:t>）工程质量、工期、进度、安全及文明施工措施可靠，具备展台搭建专业资质并提供证明文件的得5分</w:t>
            </w:r>
            <w:r>
              <w:rPr>
                <w:rFonts w:hint="eastAsia" w:asciiTheme="majorEastAsia" w:hAnsiTheme="majorEastAsia" w:eastAsiaTheme="majorEastAsia" w:cstheme="majorEastAsia"/>
                <w:color w:val="000000"/>
                <w:kern w:val="0"/>
                <w:sz w:val="20"/>
                <w:lang w:eastAsia="zh-CN"/>
              </w:rPr>
              <w:t>，</w:t>
            </w:r>
            <w:r>
              <w:rPr>
                <w:rFonts w:hint="eastAsia" w:asciiTheme="majorEastAsia" w:hAnsiTheme="majorEastAsia" w:eastAsiaTheme="majorEastAsia" w:cstheme="majorEastAsia"/>
                <w:color w:val="000000"/>
                <w:kern w:val="0"/>
                <w:sz w:val="20"/>
              </w:rPr>
              <w:t>否则不得分。</w:t>
            </w:r>
          </w:p>
        </w:tc>
      </w:tr>
      <w:tr>
        <w:tblPrEx>
          <w:tblCellMar>
            <w:top w:w="0" w:type="dxa"/>
            <w:left w:w="0" w:type="dxa"/>
            <w:bottom w:w="0" w:type="dxa"/>
            <w:right w:w="0" w:type="dxa"/>
          </w:tblCellMar>
        </w:tblPrEx>
        <w:trPr>
          <w:trHeight w:val="1248" w:hRule="atLeast"/>
        </w:trPr>
        <w:tc>
          <w:tcPr>
            <w:tcW w:w="766" w:type="dxa"/>
            <w:vMerge w:val="continue"/>
            <w:tcBorders>
              <w:top w:val="single" w:color="auto" w:sz="4" w:space="0"/>
              <w:left w:val="single" w:color="auto"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691" w:type="dxa"/>
            <w:vMerge w:val="continue"/>
            <w:tcBorders>
              <w:top w:val="single" w:color="auto"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项目</w:t>
            </w:r>
          </w:p>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方案</w:t>
            </w:r>
          </w:p>
        </w:tc>
        <w:tc>
          <w:tcPr>
            <w:tcW w:w="682" w:type="dxa"/>
            <w:vMerge w:val="continue"/>
            <w:tcBorders>
              <w:top w:val="single" w:color="auto"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111" w:lineRule="exact"/>
              <w:ind w:left="13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75 分</w:t>
            </w:r>
          </w:p>
        </w:tc>
        <w:tc>
          <w:tcPr>
            <w:tcW w:w="6619" w:type="dxa"/>
            <w:tcBorders>
              <w:top w:val="single" w:color="auto" w:sz="4" w:space="0"/>
              <w:left w:val="single" w:color="000000" w:sz="4" w:space="0"/>
              <w:right w:val="single" w:color="000000" w:sz="4" w:space="0"/>
            </w:tcBorders>
            <w:shd w:val="clear" w:color="auto" w:fill="FFFFFF"/>
          </w:tcPr>
          <w:p>
            <w:pPr>
              <w:autoSpaceDE w:val="0"/>
              <w:autoSpaceDN w:val="0"/>
              <w:adjustRightInd w:val="0"/>
              <w:spacing w:line="37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w:t>
            </w:r>
            <w:r>
              <w:rPr>
                <w:rFonts w:hint="default" w:asciiTheme="majorEastAsia" w:hAnsiTheme="majorEastAsia" w:eastAsiaTheme="majorEastAsia" w:cstheme="majorEastAsia"/>
                <w:color w:val="000000"/>
                <w:kern w:val="0"/>
                <w:sz w:val="20"/>
                <w:lang w:val="en"/>
              </w:rPr>
              <w:t>3</w:t>
            </w:r>
            <w:r>
              <w:rPr>
                <w:rFonts w:hint="eastAsia" w:asciiTheme="majorEastAsia" w:hAnsiTheme="majorEastAsia" w:eastAsiaTheme="majorEastAsia" w:cstheme="majorEastAsia"/>
                <w:color w:val="000000"/>
                <w:kern w:val="0"/>
                <w:sz w:val="20"/>
              </w:rPr>
              <w:t>）团队保障        10分</w:t>
            </w:r>
          </w:p>
          <w:p>
            <w:pPr>
              <w:autoSpaceDE w:val="0"/>
              <w:autoSpaceDN w:val="0"/>
              <w:adjustRightInd w:val="0"/>
              <w:spacing w:line="37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根据服务方案，人员、车辆安排合理有序得10分；服务方案</w:t>
            </w:r>
            <w:r>
              <w:rPr>
                <w:rFonts w:hint="eastAsia" w:asciiTheme="majorEastAsia" w:hAnsiTheme="majorEastAsia" w:eastAsiaTheme="majorEastAsia" w:cstheme="majorEastAsia"/>
                <w:color w:val="000000"/>
                <w:kern w:val="0"/>
                <w:sz w:val="20"/>
                <w:lang w:eastAsia="zh-CN"/>
              </w:rPr>
              <w:t>能较好的</w:t>
            </w:r>
            <w:r>
              <w:rPr>
                <w:rFonts w:hint="eastAsia" w:asciiTheme="majorEastAsia" w:hAnsiTheme="majorEastAsia" w:eastAsiaTheme="majorEastAsia" w:cstheme="majorEastAsia"/>
                <w:color w:val="000000"/>
                <w:kern w:val="0"/>
                <w:sz w:val="20"/>
              </w:rPr>
              <w:t>满足采购需求及展会要求的得</w:t>
            </w:r>
            <w:r>
              <w:rPr>
                <w:rFonts w:hint="eastAsia" w:asciiTheme="majorEastAsia" w:hAnsiTheme="majorEastAsia" w:eastAsiaTheme="majorEastAsia" w:cstheme="majorEastAsia"/>
                <w:color w:val="000000"/>
                <w:kern w:val="0"/>
                <w:sz w:val="20"/>
                <w:lang w:val="en-US" w:eastAsia="zh-CN"/>
              </w:rPr>
              <w:t>7</w:t>
            </w:r>
            <w:r>
              <w:rPr>
                <w:rFonts w:hint="eastAsia" w:asciiTheme="majorEastAsia" w:hAnsiTheme="majorEastAsia" w:eastAsiaTheme="majorEastAsia" w:cstheme="majorEastAsia"/>
                <w:color w:val="000000"/>
                <w:kern w:val="0"/>
                <w:sz w:val="20"/>
              </w:rPr>
              <w:t>分；服务方案</w:t>
            </w:r>
            <w:r>
              <w:rPr>
                <w:rFonts w:hint="eastAsia" w:asciiTheme="majorEastAsia" w:hAnsiTheme="majorEastAsia" w:eastAsiaTheme="majorEastAsia" w:cstheme="majorEastAsia"/>
                <w:color w:val="000000"/>
                <w:kern w:val="0"/>
                <w:sz w:val="20"/>
                <w:lang w:eastAsia="zh-CN"/>
              </w:rPr>
              <w:t>能</w:t>
            </w:r>
            <w:r>
              <w:rPr>
                <w:rFonts w:hint="eastAsia" w:asciiTheme="majorEastAsia" w:hAnsiTheme="majorEastAsia" w:eastAsiaTheme="majorEastAsia" w:cstheme="majorEastAsia"/>
                <w:color w:val="000000"/>
                <w:kern w:val="0"/>
                <w:sz w:val="20"/>
              </w:rPr>
              <w:t>基本满足采购需求及展会要求的得</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w:t>
            </w:r>
            <w:r>
              <w:rPr>
                <w:rFonts w:hint="eastAsia" w:asciiTheme="majorEastAsia" w:hAnsiTheme="majorEastAsia" w:eastAsiaTheme="majorEastAsia" w:cstheme="majorEastAsia"/>
                <w:color w:val="000000"/>
                <w:kern w:val="0"/>
                <w:sz w:val="20"/>
              </w:rPr>
              <w:t>没有提供不得分。</w:t>
            </w:r>
          </w:p>
        </w:tc>
      </w:tr>
      <w:tr>
        <w:tblPrEx>
          <w:tblCellMar>
            <w:top w:w="0" w:type="dxa"/>
            <w:left w:w="0" w:type="dxa"/>
            <w:bottom w:w="0" w:type="dxa"/>
            <w:right w:w="0" w:type="dxa"/>
          </w:tblCellMar>
        </w:tblPrEx>
        <w:trPr>
          <w:trHeight w:val="1165" w:hRule="exact"/>
        </w:trPr>
        <w:tc>
          <w:tcPr>
            <w:tcW w:w="76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69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服务</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保障</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18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1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根据供应商的服务机制，服务保障措施以及服务承诺等是否完善、是否能够</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充分保障项目需求等进行综合评分。优：10分，良：</w:t>
            </w:r>
            <w:r>
              <w:rPr>
                <w:rFonts w:hint="eastAsia" w:asciiTheme="majorEastAsia" w:hAnsiTheme="majorEastAsia" w:eastAsiaTheme="majorEastAsia" w:cstheme="majorEastAsia"/>
                <w:color w:val="000000"/>
                <w:kern w:val="0"/>
                <w:sz w:val="20"/>
                <w:lang w:val="en-US" w:eastAsia="zh-CN"/>
              </w:rPr>
              <w:t>7</w:t>
            </w:r>
            <w:r>
              <w:rPr>
                <w:rFonts w:hint="eastAsia" w:asciiTheme="majorEastAsia" w:hAnsiTheme="majorEastAsia" w:eastAsiaTheme="majorEastAsia" w:cstheme="majorEastAsia"/>
                <w:color w:val="000000"/>
                <w:kern w:val="0"/>
                <w:sz w:val="20"/>
              </w:rPr>
              <w:t>分，一般：</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 xml:space="preserve"> 分，没有不得分.</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不得分。</w:t>
            </w:r>
          </w:p>
        </w:tc>
      </w:tr>
    </w:tbl>
    <w:p>
      <w:pPr>
        <w:ind w:firstLine="640"/>
      </w:pPr>
    </w:p>
    <w:sectPr>
      <w:footerReference r:id="rId5" w:type="first"/>
      <w:footerReference r:id="rId3" w:type="default"/>
      <w:footerReference r:id="rId4" w:type="even"/>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42"/>
    <w:rsid w:val="00000DFC"/>
    <w:rsid w:val="00002AB4"/>
    <w:rsid w:val="000031C0"/>
    <w:rsid w:val="00003CEE"/>
    <w:rsid w:val="00005A8A"/>
    <w:rsid w:val="00005D8A"/>
    <w:rsid w:val="0000695F"/>
    <w:rsid w:val="00006AF2"/>
    <w:rsid w:val="00011618"/>
    <w:rsid w:val="00011BB9"/>
    <w:rsid w:val="000128BD"/>
    <w:rsid w:val="000133E5"/>
    <w:rsid w:val="00013D16"/>
    <w:rsid w:val="00013E52"/>
    <w:rsid w:val="00014134"/>
    <w:rsid w:val="00014528"/>
    <w:rsid w:val="00014CC2"/>
    <w:rsid w:val="00015412"/>
    <w:rsid w:val="0001602A"/>
    <w:rsid w:val="0001706C"/>
    <w:rsid w:val="0002019D"/>
    <w:rsid w:val="000228FE"/>
    <w:rsid w:val="00022D4F"/>
    <w:rsid w:val="000246D3"/>
    <w:rsid w:val="00024DBC"/>
    <w:rsid w:val="00026FE2"/>
    <w:rsid w:val="00027F79"/>
    <w:rsid w:val="000306C4"/>
    <w:rsid w:val="00032069"/>
    <w:rsid w:val="00032EBD"/>
    <w:rsid w:val="00035854"/>
    <w:rsid w:val="00037FFC"/>
    <w:rsid w:val="000403F9"/>
    <w:rsid w:val="00042925"/>
    <w:rsid w:val="00042B93"/>
    <w:rsid w:val="00044674"/>
    <w:rsid w:val="000447EC"/>
    <w:rsid w:val="00045279"/>
    <w:rsid w:val="0004612D"/>
    <w:rsid w:val="00046CB4"/>
    <w:rsid w:val="00051401"/>
    <w:rsid w:val="00052307"/>
    <w:rsid w:val="0005267C"/>
    <w:rsid w:val="00053BFD"/>
    <w:rsid w:val="00054604"/>
    <w:rsid w:val="00060028"/>
    <w:rsid w:val="00061624"/>
    <w:rsid w:val="00061FCE"/>
    <w:rsid w:val="00062368"/>
    <w:rsid w:val="00064E26"/>
    <w:rsid w:val="0006579E"/>
    <w:rsid w:val="00066576"/>
    <w:rsid w:val="000667E8"/>
    <w:rsid w:val="00066E5C"/>
    <w:rsid w:val="00067A91"/>
    <w:rsid w:val="00070361"/>
    <w:rsid w:val="00072C06"/>
    <w:rsid w:val="000734EE"/>
    <w:rsid w:val="000735B6"/>
    <w:rsid w:val="00076B1F"/>
    <w:rsid w:val="00077C24"/>
    <w:rsid w:val="00080304"/>
    <w:rsid w:val="000826B6"/>
    <w:rsid w:val="00082823"/>
    <w:rsid w:val="00083139"/>
    <w:rsid w:val="00084D59"/>
    <w:rsid w:val="000854CA"/>
    <w:rsid w:val="00087738"/>
    <w:rsid w:val="000900C4"/>
    <w:rsid w:val="0009085E"/>
    <w:rsid w:val="00090B73"/>
    <w:rsid w:val="00092114"/>
    <w:rsid w:val="00092519"/>
    <w:rsid w:val="000943A7"/>
    <w:rsid w:val="00095AD9"/>
    <w:rsid w:val="000A091E"/>
    <w:rsid w:val="000A1121"/>
    <w:rsid w:val="000A1BD4"/>
    <w:rsid w:val="000A290F"/>
    <w:rsid w:val="000A2C46"/>
    <w:rsid w:val="000A3809"/>
    <w:rsid w:val="000A533E"/>
    <w:rsid w:val="000A62FF"/>
    <w:rsid w:val="000A6A84"/>
    <w:rsid w:val="000A6E6F"/>
    <w:rsid w:val="000B02F5"/>
    <w:rsid w:val="000B36E7"/>
    <w:rsid w:val="000B3ED5"/>
    <w:rsid w:val="000B40EE"/>
    <w:rsid w:val="000B41CA"/>
    <w:rsid w:val="000B4E36"/>
    <w:rsid w:val="000B5E41"/>
    <w:rsid w:val="000B67F6"/>
    <w:rsid w:val="000B68D9"/>
    <w:rsid w:val="000B7A36"/>
    <w:rsid w:val="000C1515"/>
    <w:rsid w:val="000C2586"/>
    <w:rsid w:val="000C54C6"/>
    <w:rsid w:val="000C5886"/>
    <w:rsid w:val="000C58F7"/>
    <w:rsid w:val="000C5CA3"/>
    <w:rsid w:val="000C5EEF"/>
    <w:rsid w:val="000C684F"/>
    <w:rsid w:val="000D06A8"/>
    <w:rsid w:val="000D2B48"/>
    <w:rsid w:val="000D4E31"/>
    <w:rsid w:val="000D6E2D"/>
    <w:rsid w:val="000E108C"/>
    <w:rsid w:val="000E1E89"/>
    <w:rsid w:val="000E209B"/>
    <w:rsid w:val="000E28B6"/>
    <w:rsid w:val="000E2F77"/>
    <w:rsid w:val="000E33BE"/>
    <w:rsid w:val="000E533D"/>
    <w:rsid w:val="000E6787"/>
    <w:rsid w:val="000E700C"/>
    <w:rsid w:val="000F1EE2"/>
    <w:rsid w:val="000F3E0E"/>
    <w:rsid w:val="000F425B"/>
    <w:rsid w:val="000F4D1E"/>
    <w:rsid w:val="00100846"/>
    <w:rsid w:val="00101493"/>
    <w:rsid w:val="00101C81"/>
    <w:rsid w:val="00102491"/>
    <w:rsid w:val="001030AF"/>
    <w:rsid w:val="00107076"/>
    <w:rsid w:val="0011340E"/>
    <w:rsid w:val="0011542F"/>
    <w:rsid w:val="0011588C"/>
    <w:rsid w:val="00116BC1"/>
    <w:rsid w:val="00117F91"/>
    <w:rsid w:val="00121EA9"/>
    <w:rsid w:val="001236AD"/>
    <w:rsid w:val="00126905"/>
    <w:rsid w:val="00126B09"/>
    <w:rsid w:val="0013005E"/>
    <w:rsid w:val="00130BF0"/>
    <w:rsid w:val="00131D8F"/>
    <w:rsid w:val="00132252"/>
    <w:rsid w:val="0013259E"/>
    <w:rsid w:val="00132FEA"/>
    <w:rsid w:val="0013461C"/>
    <w:rsid w:val="00134CC3"/>
    <w:rsid w:val="0013654C"/>
    <w:rsid w:val="00141278"/>
    <w:rsid w:val="0014142D"/>
    <w:rsid w:val="0014195E"/>
    <w:rsid w:val="001438FB"/>
    <w:rsid w:val="0014700B"/>
    <w:rsid w:val="00150151"/>
    <w:rsid w:val="00151402"/>
    <w:rsid w:val="00152025"/>
    <w:rsid w:val="00152033"/>
    <w:rsid w:val="00152178"/>
    <w:rsid w:val="001523D7"/>
    <w:rsid w:val="0015369A"/>
    <w:rsid w:val="00154780"/>
    <w:rsid w:val="001547D8"/>
    <w:rsid w:val="00156925"/>
    <w:rsid w:val="00157E01"/>
    <w:rsid w:val="00161144"/>
    <w:rsid w:val="0016132C"/>
    <w:rsid w:val="00161812"/>
    <w:rsid w:val="0016195D"/>
    <w:rsid w:val="001624A2"/>
    <w:rsid w:val="00164BE4"/>
    <w:rsid w:val="00165DEB"/>
    <w:rsid w:val="00165EF7"/>
    <w:rsid w:val="0016628F"/>
    <w:rsid w:val="00166307"/>
    <w:rsid w:val="0017029C"/>
    <w:rsid w:val="0017122A"/>
    <w:rsid w:val="00172189"/>
    <w:rsid w:val="00173276"/>
    <w:rsid w:val="001736C6"/>
    <w:rsid w:val="00173D27"/>
    <w:rsid w:val="00174D76"/>
    <w:rsid w:val="00176A7A"/>
    <w:rsid w:val="0017754D"/>
    <w:rsid w:val="001778EE"/>
    <w:rsid w:val="00177DAD"/>
    <w:rsid w:val="00180128"/>
    <w:rsid w:val="00180AFA"/>
    <w:rsid w:val="0018117A"/>
    <w:rsid w:val="001834CE"/>
    <w:rsid w:val="00183E5E"/>
    <w:rsid w:val="00184C99"/>
    <w:rsid w:val="00184C9A"/>
    <w:rsid w:val="00184F08"/>
    <w:rsid w:val="001853BC"/>
    <w:rsid w:val="00186354"/>
    <w:rsid w:val="001903CB"/>
    <w:rsid w:val="00190A8B"/>
    <w:rsid w:val="00190FEA"/>
    <w:rsid w:val="00191792"/>
    <w:rsid w:val="001934E9"/>
    <w:rsid w:val="00193BCB"/>
    <w:rsid w:val="00194801"/>
    <w:rsid w:val="00195C84"/>
    <w:rsid w:val="00196516"/>
    <w:rsid w:val="001977D2"/>
    <w:rsid w:val="001A03E7"/>
    <w:rsid w:val="001A2568"/>
    <w:rsid w:val="001A3445"/>
    <w:rsid w:val="001A3765"/>
    <w:rsid w:val="001A4EDB"/>
    <w:rsid w:val="001A633F"/>
    <w:rsid w:val="001A6D42"/>
    <w:rsid w:val="001A71AC"/>
    <w:rsid w:val="001A7426"/>
    <w:rsid w:val="001A7495"/>
    <w:rsid w:val="001A79BF"/>
    <w:rsid w:val="001B289F"/>
    <w:rsid w:val="001B58D1"/>
    <w:rsid w:val="001B5AD2"/>
    <w:rsid w:val="001B5DB4"/>
    <w:rsid w:val="001B6B53"/>
    <w:rsid w:val="001C19F4"/>
    <w:rsid w:val="001C2D4D"/>
    <w:rsid w:val="001C34E1"/>
    <w:rsid w:val="001C3605"/>
    <w:rsid w:val="001C3871"/>
    <w:rsid w:val="001C43DE"/>
    <w:rsid w:val="001C5633"/>
    <w:rsid w:val="001C663A"/>
    <w:rsid w:val="001C6AA0"/>
    <w:rsid w:val="001C6C72"/>
    <w:rsid w:val="001D066F"/>
    <w:rsid w:val="001D322E"/>
    <w:rsid w:val="001D3329"/>
    <w:rsid w:val="001D51A5"/>
    <w:rsid w:val="001D6F37"/>
    <w:rsid w:val="001D7F27"/>
    <w:rsid w:val="001E1103"/>
    <w:rsid w:val="001E130D"/>
    <w:rsid w:val="001E507D"/>
    <w:rsid w:val="001E5C67"/>
    <w:rsid w:val="001E62C2"/>
    <w:rsid w:val="001E6AC3"/>
    <w:rsid w:val="001E6EE6"/>
    <w:rsid w:val="001F0E5D"/>
    <w:rsid w:val="001F2447"/>
    <w:rsid w:val="001F25EF"/>
    <w:rsid w:val="001F4A93"/>
    <w:rsid w:val="00201B4C"/>
    <w:rsid w:val="00201F2B"/>
    <w:rsid w:val="002053C9"/>
    <w:rsid w:val="002073E3"/>
    <w:rsid w:val="00207512"/>
    <w:rsid w:val="00210597"/>
    <w:rsid w:val="00211173"/>
    <w:rsid w:val="00211458"/>
    <w:rsid w:val="00213C2F"/>
    <w:rsid w:val="00223203"/>
    <w:rsid w:val="002254A7"/>
    <w:rsid w:val="00226EFD"/>
    <w:rsid w:val="00230200"/>
    <w:rsid w:val="002314D6"/>
    <w:rsid w:val="00233D04"/>
    <w:rsid w:val="0023511C"/>
    <w:rsid w:val="00237320"/>
    <w:rsid w:val="002375EF"/>
    <w:rsid w:val="00237E55"/>
    <w:rsid w:val="0024061E"/>
    <w:rsid w:val="00242BAE"/>
    <w:rsid w:val="00243AD2"/>
    <w:rsid w:val="00244C92"/>
    <w:rsid w:val="002473A9"/>
    <w:rsid w:val="00250115"/>
    <w:rsid w:val="00250A2F"/>
    <w:rsid w:val="00251D0A"/>
    <w:rsid w:val="002523B3"/>
    <w:rsid w:val="00252D07"/>
    <w:rsid w:val="002576FE"/>
    <w:rsid w:val="00257BF8"/>
    <w:rsid w:val="00261FD6"/>
    <w:rsid w:val="00262FC3"/>
    <w:rsid w:val="002631C6"/>
    <w:rsid w:val="00263275"/>
    <w:rsid w:val="00264101"/>
    <w:rsid w:val="0026421C"/>
    <w:rsid w:val="00265019"/>
    <w:rsid w:val="00265179"/>
    <w:rsid w:val="00265EDC"/>
    <w:rsid w:val="00266012"/>
    <w:rsid w:val="002664AB"/>
    <w:rsid w:val="00270721"/>
    <w:rsid w:val="002708AD"/>
    <w:rsid w:val="00273301"/>
    <w:rsid w:val="00276671"/>
    <w:rsid w:val="00276F76"/>
    <w:rsid w:val="00280196"/>
    <w:rsid w:val="002801B0"/>
    <w:rsid w:val="00280EDF"/>
    <w:rsid w:val="002811BE"/>
    <w:rsid w:val="002814BF"/>
    <w:rsid w:val="00281E6B"/>
    <w:rsid w:val="00282E68"/>
    <w:rsid w:val="00285D9D"/>
    <w:rsid w:val="00286EB4"/>
    <w:rsid w:val="00287A96"/>
    <w:rsid w:val="00291215"/>
    <w:rsid w:val="002923E6"/>
    <w:rsid w:val="00292810"/>
    <w:rsid w:val="002933B7"/>
    <w:rsid w:val="00293B47"/>
    <w:rsid w:val="00294AA2"/>
    <w:rsid w:val="002956CE"/>
    <w:rsid w:val="00295A00"/>
    <w:rsid w:val="00295A4B"/>
    <w:rsid w:val="00296081"/>
    <w:rsid w:val="00296221"/>
    <w:rsid w:val="00296542"/>
    <w:rsid w:val="002966FA"/>
    <w:rsid w:val="002967E3"/>
    <w:rsid w:val="002970A4"/>
    <w:rsid w:val="002979B9"/>
    <w:rsid w:val="002A13BD"/>
    <w:rsid w:val="002A13C5"/>
    <w:rsid w:val="002A2B77"/>
    <w:rsid w:val="002A389B"/>
    <w:rsid w:val="002A41B0"/>
    <w:rsid w:val="002A494F"/>
    <w:rsid w:val="002A4D6D"/>
    <w:rsid w:val="002A6F8B"/>
    <w:rsid w:val="002A71B3"/>
    <w:rsid w:val="002B0389"/>
    <w:rsid w:val="002B07EF"/>
    <w:rsid w:val="002B2943"/>
    <w:rsid w:val="002B5872"/>
    <w:rsid w:val="002B5BEA"/>
    <w:rsid w:val="002B6598"/>
    <w:rsid w:val="002B7C30"/>
    <w:rsid w:val="002B7D43"/>
    <w:rsid w:val="002B7F3C"/>
    <w:rsid w:val="002C07C7"/>
    <w:rsid w:val="002C09D3"/>
    <w:rsid w:val="002C3741"/>
    <w:rsid w:val="002C3D22"/>
    <w:rsid w:val="002C3E7F"/>
    <w:rsid w:val="002C68B0"/>
    <w:rsid w:val="002C7CBF"/>
    <w:rsid w:val="002D007C"/>
    <w:rsid w:val="002D24E0"/>
    <w:rsid w:val="002D3533"/>
    <w:rsid w:val="002D4AE8"/>
    <w:rsid w:val="002D7D2E"/>
    <w:rsid w:val="002E28D2"/>
    <w:rsid w:val="002E2D9B"/>
    <w:rsid w:val="002E2F5C"/>
    <w:rsid w:val="002E578E"/>
    <w:rsid w:val="002E6259"/>
    <w:rsid w:val="002F258D"/>
    <w:rsid w:val="002F2D64"/>
    <w:rsid w:val="002F4018"/>
    <w:rsid w:val="002F4338"/>
    <w:rsid w:val="002F4E8D"/>
    <w:rsid w:val="002F6E42"/>
    <w:rsid w:val="002F7857"/>
    <w:rsid w:val="002F7910"/>
    <w:rsid w:val="00300293"/>
    <w:rsid w:val="0030035F"/>
    <w:rsid w:val="0030187A"/>
    <w:rsid w:val="00301D3B"/>
    <w:rsid w:val="00302165"/>
    <w:rsid w:val="00305191"/>
    <w:rsid w:val="00305E76"/>
    <w:rsid w:val="00305FB6"/>
    <w:rsid w:val="00310FA6"/>
    <w:rsid w:val="00311C93"/>
    <w:rsid w:val="00315B5F"/>
    <w:rsid w:val="00315EA7"/>
    <w:rsid w:val="00316C0F"/>
    <w:rsid w:val="0032049D"/>
    <w:rsid w:val="00323B43"/>
    <w:rsid w:val="00325DF4"/>
    <w:rsid w:val="00326A4F"/>
    <w:rsid w:val="00326E1C"/>
    <w:rsid w:val="00326E85"/>
    <w:rsid w:val="00326E93"/>
    <w:rsid w:val="00331067"/>
    <w:rsid w:val="00331412"/>
    <w:rsid w:val="00331947"/>
    <w:rsid w:val="00331B38"/>
    <w:rsid w:val="00331BC9"/>
    <w:rsid w:val="00334BB9"/>
    <w:rsid w:val="0033638A"/>
    <w:rsid w:val="003366BC"/>
    <w:rsid w:val="003374A3"/>
    <w:rsid w:val="00337C7C"/>
    <w:rsid w:val="003423B8"/>
    <w:rsid w:val="00343779"/>
    <w:rsid w:val="00345448"/>
    <w:rsid w:val="00346BAF"/>
    <w:rsid w:val="00352E4F"/>
    <w:rsid w:val="003549B6"/>
    <w:rsid w:val="00354D22"/>
    <w:rsid w:val="003579EA"/>
    <w:rsid w:val="00362955"/>
    <w:rsid w:val="00362E5D"/>
    <w:rsid w:val="0036347A"/>
    <w:rsid w:val="003647D7"/>
    <w:rsid w:val="003651AB"/>
    <w:rsid w:val="00367509"/>
    <w:rsid w:val="00367B8D"/>
    <w:rsid w:val="00367E46"/>
    <w:rsid w:val="00371312"/>
    <w:rsid w:val="003726D0"/>
    <w:rsid w:val="003753B8"/>
    <w:rsid w:val="00375A4E"/>
    <w:rsid w:val="00375BAC"/>
    <w:rsid w:val="003802D9"/>
    <w:rsid w:val="00384D5D"/>
    <w:rsid w:val="00385794"/>
    <w:rsid w:val="00386119"/>
    <w:rsid w:val="00386254"/>
    <w:rsid w:val="003869D1"/>
    <w:rsid w:val="00387141"/>
    <w:rsid w:val="00387451"/>
    <w:rsid w:val="00387A96"/>
    <w:rsid w:val="00387DE2"/>
    <w:rsid w:val="0039052A"/>
    <w:rsid w:val="00390562"/>
    <w:rsid w:val="00391617"/>
    <w:rsid w:val="003917DA"/>
    <w:rsid w:val="0039418A"/>
    <w:rsid w:val="00395E8A"/>
    <w:rsid w:val="00397E44"/>
    <w:rsid w:val="003A0362"/>
    <w:rsid w:val="003A14A5"/>
    <w:rsid w:val="003A15F8"/>
    <w:rsid w:val="003A1850"/>
    <w:rsid w:val="003A1A4E"/>
    <w:rsid w:val="003A31CD"/>
    <w:rsid w:val="003A3598"/>
    <w:rsid w:val="003B03A4"/>
    <w:rsid w:val="003B12F9"/>
    <w:rsid w:val="003B1B35"/>
    <w:rsid w:val="003B29F9"/>
    <w:rsid w:val="003B3A71"/>
    <w:rsid w:val="003B3B1B"/>
    <w:rsid w:val="003B40BB"/>
    <w:rsid w:val="003B7155"/>
    <w:rsid w:val="003C1214"/>
    <w:rsid w:val="003C337A"/>
    <w:rsid w:val="003C44E6"/>
    <w:rsid w:val="003C4DBB"/>
    <w:rsid w:val="003C6930"/>
    <w:rsid w:val="003D0D1D"/>
    <w:rsid w:val="003D1398"/>
    <w:rsid w:val="003D2944"/>
    <w:rsid w:val="003D3947"/>
    <w:rsid w:val="003D435E"/>
    <w:rsid w:val="003E09C9"/>
    <w:rsid w:val="003E0D8F"/>
    <w:rsid w:val="003E1AC4"/>
    <w:rsid w:val="003E1D2E"/>
    <w:rsid w:val="003E1FB3"/>
    <w:rsid w:val="003E2BBC"/>
    <w:rsid w:val="003E34EB"/>
    <w:rsid w:val="003E3569"/>
    <w:rsid w:val="003E7B2F"/>
    <w:rsid w:val="003E7D74"/>
    <w:rsid w:val="003F0133"/>
    <w:rsid w:val="003F1A9C"/>
    <w:rsid w:val="003F2439"/>
    <w:rsid w:val="003F3063"/>
    <w:rsid w:val="003F6519"/>
    <w:rsid w:val="00400C38"/>
    <w:rsid w:val="00400CE1"/>
    <w:rsid w:val="00400F32"/>
    <w:rsid w:val="00401B99"/>
    <w:rsid w:val="00402766"/>
    <w:rsid w:val="00402786"/>
    <w:rsid w:val="00404334"/>
    <w:rsid w:val="004064F0"/>
    <w:rsid w:val="004077BF"/>
    <w:rsid w:val="00407ECE"/>
    <w:rsid w:val="004142AD"/>
    <w:rsid w:val="004142F8"/>
    <w:rsid w:val="00415CCD"/>
    <w:rsid w:val="004164A5"/>
    <w:rsid w:val="00416EA1"/>
    <w:rsid w:val="0042232D"/>
    <w:rsid w:val="00422755"/>
    <w:rsid w:val="00422DDB"/>
    <w:rsid w:val="004251C0"/>
    <w:rsid w:val="00426F31"/>
    <w:rsid w:val="0043018E"/>
    <w:rsid w:val="004301C0"/>
    <w:rsid w:val="004334BC"/>
    <w:rsid w:val="004337EC"/>
    <w:rsid w:val="00433A71"/>
    <w:rsid w:val="00445CA8"/>
    <w:rsid w:val="0044608A"/>
    <w:rsid w:val="0044690A"/>
    <w:rsid w:val="00447685"/>
    <w:rsid w:val="00452162"/>
    <w:rsid w:val="00452233"/>
    <w:rsid w:val="00452FFA"/>
    <w:rsid w:val="00455ECE"/>
    <w:rsid w:val="00460427"/>
    <w:rsid w:val="0046057F"/>
    <w:rsid w:val="00460C3D"/>
    <w:rsid w:val="00460DBB"/>
    <w:rsid w:val="00460F36"/>
    <w:rsid w:val="00461209"/>
    <w:rsid w:val="00462173"/>
    <w:rsid w:val="004628FA"/>
    <w:rsid w:val="0046301E"/>
    <w:rsid w:val="004643D5"/>
    <w:rsid w:val="004643DC"/>
    <w:rsid w:val="00465146"/>
    <w:rsid w:val="00465858"/>
    <w:rsid w:val="00467669"/>
    <w:rsid w:val="0046781A"/>
    <w:rsid w:val="00467A4B"/>
    <w:rsid w:val="0047028B"/>
    <w:rsid w:val="00471B8B"/>
    <w:rsid w:val="00472EE9"/>
    <w:rsid w:val="00474651"/>
    <w:rsid w:val="0047539A"/>
    <w:rsid w:val="00475CF6"/>
    <w:rsid w:val="00481A8A"/>
    <w:rsid w:val="004823B9"/>
    <w:rsid w:val="0048395F"/>
    <w:rsid w:val="00483A3C"/>
    <w:rsid w:val="00484B68"/>
    <w:rsid w:val="004870B9"/>
    <w:rsid w:val="00487203"/>
    <w:rsid w:val="004874B7"/>
    <w:rsid w:val="00490815"/>
    <w:rsid w:val="00491803"/>
    <w:rsid w:val="004928AB"/>
    <w:rsid w:val="004932C8"/>
    <w:rsid w:val="00494FC1"/>
    <w:rsid w:val="00495564"/>
    <w:rsid w:val="004A04D4"/>
    <w:rsid w:val="004A5E96"/>
    <w:rsid w:val="004A61D8"/>
    <w:rsid w:val="004A7296"/>
    <w:rsid w:val="004B0033"/>
    <w:rsid w:val="004B1171"/>
    <w:rsid w:val="004B1BFC"/>
    <w:rsid w:val="004B1F5C"/>
    <w:rsid w:val="004B2733"/>
    <w:rsid w:val="004B33B9"/>
    <w:rsid w:val="004B40EA"/>
    <w:rsid w:val="004B4CEE"/>
    <w:rsid w:val="004B6315"/>
    <w:rsid w:val="004B6733"/>
    <w:rsid w:val="004B6E29"/>
    <w:rsid w:val="004B74EB"/>
    <w:rsid w:val="004B7A68"/>
    <w:rsid w:val="004C0CC5"/>
    <w:rsid w:val="004C1F3C"/>
    <w:rsid w:val="004C3197"/>
    <w:rsid w:val="004C3D47"/>
    <w:rsid w:val="004C3E90"/>
    <w:rsid w:val="004C4394"/>
    <w:rsid w:val="004C4CF2"/>
    <w:rsid w:val="004C4CF8"/>
    <w:rsid w:val="004C6710"/>
    <w:rsid w:val="004C68E9"/>
    <w:rsid w:val="004C6935"/>
    <w:rsid w:val="004C73CB"/>
    <w:rsid w:val="004D001D"/>
    <w:rsid w:val="004D08F1"/>
    <w:rsid w:val="004D0EC4"/>
    <w:rsid w:val="004D4DC1"/>
    <w:rsid w:val="004D610C"/>
    <w:rsid w:val="004E0EAB"/>
    <w:rsid w:val="004E1A97"/>
    <w:rsid w:val="004E28F1"/>
    <w:rsid w:val="004E3344"/>
    <w:rsid w:val="004E4CE6"/>
    <w:rsid w:val="004E71E9"/>
    <w:rsid w:val="004E7661"/>
    <w:rsid w:val="004F0ED7"/>
    <w:rsid w:val="004F1F1A"/>
    <w:rsid w:val="004F2811"/>
    <w:rsid w:val="004F2C20"/>
    <w:rsid w:val="004F3704"/>
    <w:rsid w:val="004F3977"/>
    <w:rsid w:val="004F40D7"/>
    <w:rsid w:val="004F4130"/>
    <w:rsid w:val="004F4601"/>
    <w:rsid w:val="004F6513"/>
    <w:rsid w:val="004F68F9"/>
    <w:rsid w:val="004F6908"/>
    <w:rsid w:val="005010AD"/>
    <w:rsid w:val="005021A9"/>
    <w:rsid w:val="00502BB3"/>
    <w:rsid w:val="00502E42"/>
    <w:rsid w:val="00503CA2"/>
    <w:rsid w:val="00504548"/>
    <w:rsid w:val="00505AB2"/>
    <w:rsid w:val="0050658A"/>
    <w:rsid w:val="00506903"/>
    <w:rsid w:val="0051082E"/>
    <w:rsid w:val="005121F1"/>
    <w:rsid w:val="00512865"/>
    <w:rsid w:val="00512914"/>
    <w:rsid w:val="00513004"/>
    <w:rsid w:val="00514968"/>
    <w:rsid w:val="00516037"/>
    <w:rsid w:val="00516DA4"/>
    <w:rsid w:val="00521475"/>
    <w:rsid w:val="005222F8"/>
    <w:rsid w:val="00522D3E"/>
    <w:rsid w:val="00522F9F"/>
    <w:rsid w:val="005230BF"/>
    <w:rsid w:val="00523C0F"/>
    <w:rsid w:val="00524244"/>
    <w:rsid w:val="00524360"/>
    <w:rsid w:val="00526313"/>
    <w:rsid w:val="00526812"/>
    <w:rsid w:val="00527499"/>
    <w:rsid w:val="00527E2A"/>
    <w:rsid w:val="005303E4"/>
    <w:rsid w:val="00532356"/>
    <w:rsid w:val="005345C8"/>
    <w:rsid w:val="005347F2"/>
    <w:rsid w:val="005355EB"/>
    <w:rsid w:val="00535DF2"/>
    <w:rsid w:val="00536AF6"/>
    <w:rsid w:val="00537627"/>
    <w:rsid w:val="00537B4F"/>
    <w:rsid w:val="00540471"/>
    <w:rsid w:val="00541446"/>
    <w:rsid w:val="0054244F"/>
    <w:rsid w:val="00542765"/>
    <w:rsid w:val="005427E9"/>
    <w:rsid w:val="0054336E"/>
    <w:rsid w:val="0054390C"/>
    <w:rsid w:val="00545427"/>
    <w:rsid w:val="0054671C"/>
    <w:rsid w:val="005472D8"/>
    <w:rsid w:val="00551543"/>
    <w:rsid w:val="00551ECF"/>
    <w:rsid w:val="005557DE"/>
    <w:rsid w:val="00555DAD"/>
    <w:rsid w:val="005560B3"/>
    <w:rsid w:val="005571AF"/>
    <w:rsid w:val="00560988"/>
    <w:rsid w:val="00560C08"/>
    <w:rsid w:val="00561673"/>
    <w:rsid w:val="00564297"/>
    <w:rsid w:val="00565420"/>
    <w:rsid w:val="00566539"/>
    <w:rsid w:val="005667BA"/>
    <w:rsid w:val="00567BA3"/>
    <w:rsid w:val="00572EA2"/>
    <w:rsid w:val="00575E7F"/>
    <w:rsid w:val="0057736C"/>
    <w:rsid w:val="005775D5"/>
    <w:rsid w:val="00580450"/>
    <w:rsid w:val="00581694"/>
    <w:rsid w:val="00581983"/>
    <w:rsid w:val="0058278D"/>
    <w:rsid w:val="0058294A"/>
    <w:rsid w:val="00584A80"/>
    <w:rsid w:val="00585DE9"/>
    <w:rsid w:val="005926A4"/>
    <w:rsid w:val="00594010"/>
    <w:rsid w:val="00597F36"/>
    <w:rsid w:val="005A1201"/>
    <w:rsid w:val="005A1E6E"/>
    <w:rsid w:val="005A49A4"/>
    <w:rsid w:val="005A6168"/>
    <w:rsid w:val="005B18B3"/>
    <w:rsid w:val="005B1EC0"/>
    <w:rsid w:val="005B41FD"/>
    <w:rsid w:val="005B46E4"/>
    <w:rsid w:val="005B5D96"/>
    <w:rsid w:val="005B6C69"/>
    <w:rsid w:val="005B7C90"/>
    <w:rsid w:val="005C17AF"/>
    <w:rsid w:val="005C2DA3"/>
    <w:rsid w:val="005C5442"/>
    <w:rsid w:val="005C717A"/>
    <w:rsid w:val="005D1A49"/>
    <w:rsid w:val="005D23E8"/>
    <w:rsid w:val="005D309A"/>
    <w:rsid w:val="005D47D4"/>
    <w:rsid w:val="005D54E0"/>
    <w:rsid w:val="005E07C4"/>
    <w:rsid w:val="005E0C6D"/>
    <w:rsid w:val="005E2ADE"/>
    <w:rsid w:val="005E2CB1"/>
    <w:rsid w:val="005E536A"/>
    <w:rsid w:val="005E5765"/>
    <w:rsid w:val="005F15C7"/>
    <w:rsid w:val="005F28A8"/>
    <w:rsid w:val="005F5BAD"/>
    <w:rsid w:val="005F7A7E"/>
    <w:rsid w:val="005F7ECC"/>
    <w:rsid w:val="00601224"/>
    <w:rsid w:val="00601A08"/>
    <w:rsid w:val="00605B07"/>
    <w:rsid w:val="00606421"/>
    <w:rsid w:val="0060649E"/>
    <w:rsid w:val="0060651F"/>
    <w:rsid w:val="00606603"/>
    <w:rsid w:val="0060794F"/>
    <w:rsid w:val="006108EA"/>
    <w:rsid w:val="00611D83"/>
    <w:rsid w:val="006137ED"/>
    <w:rsid w:val="006139DB"/>
    <w:rsid w:val="0061441E"/>
    <w:rsid w:val="00614A65"/>
    <w:rsid w:val="006153CA"/>
    <w:rsid w:val="00617307"/>
    <w:rsid w:val="00621790"/>
    <w:rsid w:val="0062288D"/>
    <w:rsid w:val="00622AFA"/>
    <w:rsid w:val="006238A3"/>
    <w:rsid w:val="00624C2D"/>
    <w:rsid w:val="00625B0C"/>
    <w:rsid w:val="00625C24"/>
    <w:rsid w:val="00625C5F"/>
    <w:rsid w:val="00626F62"/>
    <w:rsid w:val="00626FE7"/>
    <w:rsid w:val="00627723"/>
    <w:rsid w:val="006342DC"/>
    <w:rsid w:val="006358CF"/>
    <w:rsid w:val="00637FAC"/>
    <w:rsid w:val="00640011"/>
    <w:rsid w:val="006407E7"/>
    <w:rsid w:val="00650E2E"/>
    <w:rsid w:val="006516C9"/>
    <w:rsid w:val="00651838"/>
    <w:rsid w:val="006530AE"/>
    <w:rsid w:val="006540B7"/>
    <w:rsid w:val="006543A2"/>
    <w:rsid w:val="00655E6B"/>
    <w:rsid w:val="00656A9D"/>
    <w:rsid w:val="00661172"/>
    <w:rsid w:val="006614C0"/>
    <w:rsid w:val="00661F27"/>
    <w:rsid w:val="00662077"/>
    <w:rsid w:val="006640D0"/>
    <w:rsid w:val="00666BE5"/>
    <w:rsid w:val="006670FC"/>
    <w:rsid w:val="00667443"/>
    <w:rsid w:val="0067347D"/>
    <w:rsid w:val="0067350C"/>
    <w:rsid w:val="00674882"/>
    <w:rsid w:val="00674D4C"/>
    <w:rsid w:val="00675883"/>
    <w:rsid w:val="00675AAA"/>
    <w:rsid w:val="0067768E"/>
    <w:rsid w:val="00682246"/>
    <w:rsid w:val="006832EE"/>
    <w:rsid w:val="006834CB"/>
    <w:rsid w:val="00683EEC"/>
    <w:rsid w:val="00685706"/>
    <w:rsid w:val="00685AD9"/>
    <w:rsid w:val="00687027"/>
    <w:rsid w:val="006904B0"/>
    <w:rsid w:val="0069094E"/>
    <w:rsid w:val="006937C8"/>
    <w:rsid w:val="006942DC"/>
    <w:rsid w:val="00694CEF"/>
    <w:rsid w:val="00694D4E"/>
    <w:rsid w:val="0069655B"/>
    <w:rsid w:val="00696B26"/>
    <w:rsid w:val="00697C66"/>
    <w:rsid w:val="006A17A6"/>
    <w:rsid w:val="006A4A32"/>
    <w:rsid w:val="006A5133"/>
    <w:rsid w:val="006A7D68"/>
    <w:rsid w:val="006B13E0"/>
    <w:rsid w:val="006B5049"/>
    <w:rsid w:val="006B618F"/>
    <w:rsid w:val="006B6485"/>
    <w:rsid w:val="006B6C82"/>
    <w:rsid w:val="006C2011"/>
    <w:rsid w:val="006C241C"/>
    <w:rsid w:val="006C2809"/>
    <w:rsid w:val="006C57FD"/>
    <w:rsid w:val="006C6DD1"/>
    <w:rsid w:val="006C76D0"/>
    <w:rsid w:val="006C7BF3"/>
    <w:rsid w:val="006D0761"/>
    <w:rsid w:val="006D0FD5"/>
    <w:rsid w:val="006D2B5C"/>
    <w:rsid w:val="006D2C9A"/>
    <w:rsid w:val="006D37F8"/>
    <w:rsid w:val="006D4339"/>
    <w:rsid w:val="006D45FB"/>
    <w:rsid w:val="006D49A3"/>
    <w:rsid w:val="006D4B86"/>
    <w:rsid w:val="006D526F"/>
    <w:rsid w:val="006D5542"/>
    <w:rsid w:val="006E125D"/>
    <w:rsid w:val="006E17F4"/>
    <w:rsid w:val="006E2A69"/>
    <w:rsid w:val="006E533B"/>
    <w:rsid w:val="006E6649"/>
    <w:rsid w:val="006E7A84"/>
    <w:rsid w:val="006F0EC2"/>
    <w:rsid w:val="006F186B"/>
    <w:rsid w:val="006F27A2"/>
    <w:rsid w:val="006F2F5F"/>
    <w:rsid w:val="006F3B56"/>
    <w:rsid w:val="006F4B93"/>
    <w:rsid w:val="006F5551"/>
    <w:rsid w:val="006F770C"/>
    <w:rsid w:val="0070088F"/>
    <w:rsid w:val="007017AD"/>
    <w:rsid w:val="0070196A"/>
    <w:rsid w:val="00701BAA"/>
    <w:rsid w:val="007020DD"/>
    <w:rsid w:val="00702FD3"/>
    <w:rsid w:val="007066AA"/>
    <w:rsid w:val="007070A5"/>
    <w:rsid w:val="00712B7A"/>
    <w:rsid w:val="007169A5"/>
    <w:rsid w:val="00716AA8"/>
    <w:rsid w:val="007170F8"/>
    <w:rsid w:val="007177F9"/>
    <w:rsid w:val="007179C7"/>
    <w:rsid w:val="00720F4D"/>
    <w:rsid w:val="00721BD8"/>
    <w:rsid w:val="007220A6"/>
    <w:rsid w:val="00722139"/>
    <w:rsid w:val="00722200"/>
    <w:rsid w:val="00722D78"/>
    <w:rsid w:val="00725812"/>
    <w:rsid w:val="0073102F"/>
    <w:rsid w:val="007311B5"/>
    <w:rsid w:val="00732DEB"/>
    <w:rsid w:val="007331BD"/>
    <w:rsid w:val="0073386C"/>
    <w:rsid w:val="00733C9A"/>
    <w:rsid w:val="00734C13"/>
    <w:rsid w:val="00737758"/>
    <w:rsid w:val="00740129"/>
    <w:rsid w:val="0074276A"/>
    <w:rsid w:val="00742E99"/>
    <w:rsid w:val="007451EE"/>
    <w:rsid w:val="00746F90"/>
    <w:rsid w:val="0074740D"/>
    <w:rsid w:val="00747732"/>
    <w:rsid w:val="0075092C"/>
    <w:rsid w:val="00750E81"/>
    <w:rsid w:val="00751B89"/>
    <w:rsid w:val="00752EAC"/>
    <w:rsid w:val="00754A7B"/>
    <w:rsid w:val="00760CDA"/>
    <w:rsid w:val="00761605"/>
    <w:rsid w:val="00766524"/>
    <w:rsid w:val="007665D1"/>
    <w:rsid w:val="00767871"/>
    <w:rsid w:val="0077152E"/>
    <w:rsid w:val="00771EC3"/>
    <w:rsid w:val="0077320E"/>
    <w:rsid w:val="00773C1B"/>
    <w:rsid w:val="00775D86"/>
    <w:rsid w:val="0077617F"/>
    <w:rsid w:val="00780825"/>
    <w:rsid w:val="00780E15"/>
    <w:rsid w:val="00785193"/>
    <w:rsid w:val="00785257"/>
    <w:rsid w:val="00786E34"/>
    <w:rsid w:val="00790306"/>
    <w:rsid w:val="0079048B"/>
    <w:rsid w:val="0079216E"/>
    <w:rsid w:val="00796D46"/>
    <w:rsid w:val="0079752F"/>
    <w:rsid w:val="00797F6D"/>
    <w:rsid w:val="007A05BE"/>
    <w:rsid w:val="007A0B47"/>
    <w:rsid w:val="007A0D14"/>
    <w:rsid w:val="007A1E7D"/>
    <w:rsid w:val="007A2191"/>
    <w:rsid w:val="007A31F0"/>
    <w:rsid w:val="007A3DA4"/>
    <w:rsid w:val="007A4073"/>
    <w:rsid w:val="007A46C7"/>
    <w:rsid w:val="007A6D60"/>
    <w:rsid w:val="007B06B9"/>
    <w:rsid w:val="007B103B"/>
    <w:rsid w:val="007B123A"/>
    <w:rsid w:val="007B15C4"/>
    <w:rsid w:val="007B1B13"/>
    <w:rsid w:val="007B37C3"/>
    <w:rsid w:val="007B3E25"/>
    <w:rsid w:val="007B3FD4"/>
    <w:rsid w:val="007B4FC2"/>
    <w:rsid w:val="007B726F"/>
    <w:rsid w:val="007C0EC7"/>
    <w:rsid w:val="007C103C"/>
    <w:rsid w:val="007C1566"/>
    <w:rsid w:val="007C6100"/>
    <w:rsid w:val="007C649E"/>
    <w:rsid w:val="007C6A17"/>
    <w:rsid w:val="007D1777"/>
    <w:rsid w:val="007D1904"/>
    <w:rsid w:val="007D1D05"/>
    <w:rsid w:val="007D4311"/>
    <w:rsid w:val="007D53FC"/>
    <w:rsid w:val="007D592E"/>
    <w:rsid w:val="007D73A4"/>
    <w:rsid w:val="007D7505"/>
    <w:rsid w:val="007E025D"/>
    <w:rsid w:val="007E0638"/>
    <w:rsid w:val="007E1369"/>
    <w:rsid w:val="007E1A1C"/>
    <w:rsid w:val="007E328A"/>
    <w:rsid w:val="007E3823"/>
    <w:rsid w:val="007E426A"/>
    <w:rsid w:val="007E5285"/>
    <w:rsid w:val="007E7EEC"/>
    <w:rsid w:val="007F188B"/>
    <w:rsid w:val="007F599B"/>
    <w:rsid w:val="007F5CED"/>
    <w:rsid w:val="007F5D45"/>
    <w:rsid w:val="007F780F"/>
    <w:rsid w:val="00802B9C"/>
    <w:rsid w:val="008042A5"/>
    <w:rsid w:val="00804D24"/>
    <w:rsid w:val="008059A8"/>
    <w:rsid w:val="00806BC6"/>
    <w:rsid w:val="00807B78"/>
    <w:rsid w:val="008109BB"/>
    <w:rsid w:val="008109BC"/>
    <w:rsid w:val="008111CF"/>
    <w:rsid w:val="00813406"/>
    <w:rsid w:val="00813E28"/>
    <w:rsid w:val="00814AC1"/>
    <w:rsid w:val="008152A2"/>
    <w:rsid w:val="00815603"/>
    <w:rsid w:val="00816443"/>
    <w:rsid w:val="0081664A"/>
    <w:rsid w:val="0082089C"/>
    <w:rsid w:val="00820BCE"/>
    <w:rsid w:val="00820ECF"/>
    <w:rsid w:val="00827084"/>
    <w:rsid w:val="00827AA0"/>
    <w:rsid w:val="0083027E"/>
    <w:rsid w:val="00831F43"/>
    <w:rsid w:val="00832868"/>
    <w:rsid w:val="00832ADC"/>
    <w:rsid w:val="00834C05"/>
    <w:rsid w:val="00835FFA"/>
    <w:rsid w:val="00836798"/>
    <w:rsid w:val="00840302"/>
    <w:rsid w:val="00841F4C"/>
    <w:rsid w:val="00847731"/>
    <w:rsid w:val="0085016B"/>
    <w:rsid w:val="00850CAB"/>
    <w:rsid w:val="00852B48"/>
    <w:rsid w:val="008534AE"/>
    <w:rsid w:val="00853B28"/>
    <w:rsid w:val="0085481E"/>
    <w:rsid w:val="00854F37"/>
    <w:rsid w:val="008551B2"/>
    <w:rsid w:val="0085548D"/>
    <w:rsid w:val="00855D93"/>
    <w:rsid w:val="00855FDC"/>
    <w:rsid w:val="008610E7"/>
    <w:rsid w:val="00861F9B"/>
    <w:rsid w:val="008620BE"/>
    <w:rsid w:val="00862DC7"/>
    <w:rsid w:val="00863937"/>
    <w:rsid w:val="00863CE9"/>
    <w:rsid w:val="0087010A"/>
    <w:rsid w:val="008701BD"/>
    <w:rsid w:val="00870576"/>
    <w:rsid w:val="00870BD7"/>
    <w:rsid w:val="00871D5D"/>
    <w:rsid w:val="00871D66"/>
    <w:rsid w:val="00872475"/>
    <w:rsid w:val="008735D7"/>
    <w:rsid w:val="00874038"/>
    <w:rsid w:val="00875226"/>
    <w:rsid w:val="00875B43"/>
    <w:rsid w:val="0087731E"/>
    <w:rsid w:val="00877CDD"/>
    <w:rsid w:val="00880D2E"/>
    <w:rsid w:val="00882AC5"/>
    <w:rsid w:val="00882DB5"/>
    <w:rsid w:val="00884E19"/>
    <w:rsid w:val="00890EAC"/>
    <w:rsid w:val="0089354D"/>
    <w:rsid w:val="00893B6E"/>
    <w:rsid w:val="00894C82"/>
    <w:rsid w:val="008970F9"/>
    <w:rsid w:val="0089729B"/>
    <w:rsid w:val="008A0B34"/>
    <w:rsid w:val="008A1EB6"/>
    <w:rsid w:val="008A26F3"/>
    <w:rsid w:val="008A2C37"/>
    <w:rsid w:val="008A2DCE"/>
    <w:rsid w:val="008B23C6"/>
    <w:rsid w:val="008B30F4"/>
    <w:rsid w:val="008B385A"/>
    <w:rsid w:val="008B4FD7"/>
    <w:rsid w:val="008B651A"/>
    <w:rsid w:val="008B6A14"/>
    <w:rsid w:val="008B74B5"/>
    <w:rsid w:val="008B773F"/>
    <w:rsid w:val="008C0894"/>
    <w:rsid w:val="008C21EE"/>
    <w:rsid w:val="008C3514"/>
    <w:rsid w:val="008C4D87"/>
    <w:rsid w:val="008C747F"/>
    <w:rsid w:val="008C7A46"/>
    <w:rsid w:val="008D0337"/>
    <w:rsid w:val="008D0583"/>
    <w:rsid w:val="008E0057"/>
    <w:rsid w:val="008E0516"/>
    <w:rsid w:val="008E2B2A"/>
    <w:rsid w:val="008E4644"/>
    <w:rsid w:val="008E6C3F"/>
    <w:rsid w:val="008F07E5"/>
    <w:rsid w:val="008F2A37"/>
    <w:rsid w:val="008F2C30"/>
    <w:rsid w:val="008F4C78"/>
    <w:rsid w:val="008F4D8E"/>
    <w:rsid w:val="008F6ED3"/>
    <w:rsid w:val="00902048"/>
    <w:rsid w:val="00902214"/>
    <w:rsid w:val="00903AA6"/>
    <w:rsid w:val="00903C60"/>
    <w:rsid w:val="00903EC4"/>
    <w:rsid w:val="00904751"/>
    <w:rsid w:val="00906920"/>
    <w:rsid w:val="009073B8"/>
    <w:rsid w:val="009075CE"/>
    <w:rsid w:val="00912713"/>
    <w:rsid w:val="00912EAD"/>
    <w:rsid w:val="009170D2"/>
    <w:rsid w:val="0091733E"/>
    <w:rsid w:val="0092042D"/>
    <w:rsid w:val="00922269"/>
    <w:rsid w:val="00923439"/>
    <w:rsid w:val="00924A47"/>
    <w:rsid w:val="00925AC8"/>
    <w:rsid w:val="00930434"/>
    <w:rsid w:val="009323B0"/>
    <w:rsid w:val="009339E1"/>
    <w:rsid w:val="00934724"/>
    <w:rsid w:val="00935057"/>
    <w:rsid w:val="009353EC"/>
    <w:rsid w:val="00936407"/>
    <w:rsid w:val="009412F0"/>
    <w:rsid w:val="009417F8"/>
    <w:rsid w:val="009418AA"/>
    <w:rsid w:val="00941EC5"/>
    <w:rsid w:val="009478CA"/>
    <w:rsid w:val="00947FA1"/>
    <w:rsid w:val="009517F3"/>
    <w:rsid w:val="00952D50"/>
    <w:rsid w:val="009532C6"/>
    <w:rsid w:val="009552C5"/>
    <w:rsid w:val="009562A4"/>
    <w:rsid w:val="009607D4"/>
    <w:rsid w:val="00961970"/>
    <w:rsid w:val="0096228E"/>
    <w:rsid w:val="00962E04"/>
    <w:rsid w:val="009634A2"/>
    <w:rsid w:val="00965FD3"/>
    <w:rsid w:val="009668BA"/>
    <w:rsid w:val="0096798D"/>
    <w:rsid w:val="009701A6"/>
    <w:rsid w:val="0097100B"/>
    <w:rsid w:val="00971194"/>
    <w:rsid w:val="00972EE7"/>
    <w:rsid w:val="00974F1E"/>
    <w:rsid w:val="009752F8"/>
    <w:rsid w:val="00975F94"/>
    <w:rsid w:val="00976A44"/>
    <w:rsid w:val="00977413"/>
    <w:rsid w:val="0097783D"/>
    <w:rsid w:val="0098029E"/>
    <w:rsid w:val="009806A3"/>
    <w:rsid w:val="0098220D"/>
    <w:rsid w:val="00982ABB"/>
    <w:rsid w:val="009832C4"/>
    <w:rsid w:val="00983472"/>
    <w:rsid w:val="009842DD"/>
    <w:rsid w:val="0098592F"/>
    <w:rsid w:val="00986819"/>
    <w:rsid w:val="009878D6"/>
    <w:rsid w:val="00990348"/>
    <w:rsid w:val="00990960"/>
    <w:rsid w:val="00990D4D"/>
    <w:rsid w:val="00991E85"/>
    <w:rsid w:val="0099228F"/>
    <w:rsid w:val="00993A99"/>
    <w:rsid w:val="00993F4C"/>
    <w:rsid w:val="00997F49"/>
    <w:rsid w:val="009A0878"/>
    <w:rsid w:val="009A15EF"/>
    <w:rsid w:val="009A16DE"/>
    <w:rsid w:val="009A360D"/>
    <w:rsid w:val="009A4498"/>
    <w:rsid w:val="009A5522"/>
    <w:rsid w:val="009A5F77"/>
    <w:rsid w:val="009A69CD"/>
    <w:rsid w:val="009B59F0"/>
    <w:rsid w:val="009B7B57"/>
    <w:rsid w:val="009C0437"/>
    <w:rsid w:val="009C0916"/>
    <w:rsid w:val="009C16AE"/>
    <w:rsid w:val="009C2505"/>
    <w:rsid w:val="009C3EA2"/>
    <w:rsid w:val="009C459F"/>
    <w:rsid w:val="009C45ED"/>
    <w:rsid w:val="009C6B5A"/>
    <w:rsid w:val="009D110D"/>
    <w:rsid w:val="009D171D"/>
    <w:rsid w:val="009D20F0"/>
    <w:rsid w:val="009D33F2"/>
    <w:rsid w:val="009D35A3"/>
    <w:rsid w:val="009D3FD5"/>
    <w:rsid w:val="009D49E0"/>
    <w:rsid w:val="009D6E0B"/>
    <w:rsid w:val="009D75CC"/>
    <w:rsid w:val="009E5525"/>
    <w:rsid w:val="009E7194"/>
    <w:rsid w:val="009F0390"/>
    <w:rsid w:val="009F11BF"/>
    <w:rsid w:val="009F2777"/>
    <w:rsid w:val="009F3252"/>
    <w:rsid w:val="009F32EE"/>
    <w:rsid w:val="009F4FC4"/>
    <w:rsid w:val="009F5C8B"/>
    <w:rsid w:val="009F6AAE"/>
    <w:rsid w:val="00A02050"/>
    <w:rsid w:val="00A0327A"/>
    <w:rsid w:val="00A03D3D"/>
    <w:rsid w:val="00A05502"/>
    <w:rsid w:val="00A057A3"/>
    <w:rsid w:val="00A06508"/>
    <w:rsid w:val="00A06E86"/>
    <w:rsid w:val="00A07366"/>
    <w:rsid w:val="00A077EC"/>
    <w:rsid w:val="00A14DBF"/>
    <w:rsid w:val="00A1501A"/>
    <w:rsid w:val="00A150E1"/>
    <w:rsid w:val="00A15697"/>
    <w:rsid w:val="00A15A8B"/>
    <w:rsid w:val="00A15E31"/>
    <w:rsid w:val="00A226D6"/>
    <w:rsid w:val="00A261BB"/>
    <w:rsid w:val="00A3098D"/>
    <w:rsid w:val="00A31BA2"/>
    <w:rsid w:val="00A335A8"/>
    <w:rsid w:val="00A40472"/>
    <w:rsid w:val="00A40839"/>
    <w:rsid w:val="00A41080"/>
    <w:rsid w:val="00A414A9"/>
    <w:rsid w:val="00A41CC5"/>
    <w:rsid w:val="00A432B8"/>
    <w:rsid w:val="00A43425"/>
    <w:rsid w:val="00A43C2E"/>
    <w:rsid w:val="00A44857"/>
    <w:rsid w:val="00A461BE"/>
    <w:rsid w:val="00A46A18"/>
    <w:rsid w:val="00A47F7F"/>
    <w:rsid w:val="00A541E9"/>
    <w:rsid w:val="00A550D7"/>
    <w:rsid w:val="00A557DF"/>
    <w:rsid w:val="00A563B5"/>
    <w:rsid w:val="00A56994"/>
    <w:rsid w:val="00A6143E"/>
    <w:rsid w:val="00A659F5"/>
    <w:rsid w:val="00A65A90"/>
    <w:rsid w:val="00A663DC"/>
    <w:rsid w:val="00A70D3E"/>
    <w:rsid w:val="00A71603"/>
    <w:rsid w:val="00A71D0B"/>
    <w:rsid w:val="00A733DC"/>
    <w:rsid w:val="00A746C4"/>
    <w:rsid w:val="00A74ACF"/>
    <w:rsid w:val="00A76FA0"/>
    <w:rsid w:val="00A777F7"/>
    <w:rsid w:val="00A81824"/>
    <w:rsid w:val="00A85355"/>
    <w:rsid w:val="00A85B0E"/>
    <w:rsid w:val="00A86781"/>
    <w:rsid w:val="00A90275"/>
    <w:rsid w:val="00A905C9"/>
    <w:rsid w:val="00A91177"/>
    <w:rsid w:val="00A9241C"/>
    <w:rsid w:val="00A944C7"/>
    <w:rsid w:val="00A94947"/>
    <w:rsid w:val="00A960D8"/>
    <w:rsid w:val="00A9758A"/>
    <w:rsid w:val="00A97F28"/>
    <w:rsid w:val="00AA14CB"/>
    <w:rsid w:val="00AA1A45"/>
    <w:rsid w:val="00AA24F9"/>
    <w:rsid w:val="00AA364F"/>
    <w:rsid w:val="00AA4A67"/>
    <w:rsid w:val="00AA6C01"/>
    <w:rsid w:val="00AA7275"/>
    <w:rsid w:val="00AB0D60"/>
    <w:rsid w:val="00AB6EF8"/>
    <w:rsid w:val="00AB72F2"/>
    <w:rsid w:val="00AB74A7"/>
    <w:rsid w:val="00AB7A1E"/>
    <w:rsid w:val="00AC08F3"/>
    <w:rsid w:val="00AC3121"/>
    <w:rsid w:val="00AC32F1"/>
    <w:rsid w:val="00AC3865"/>
    <w:rsid w:val="00AC42B9"/>
    <w:rsid w:val="00AC43C3"/>
    <w:rsid w:val="00AC4879"/>
    <w:rsid w:val="00AC7A79"/>
    <w:rsid w:val="00AD00D7"/>
    <w:rsid w:val="00AD045A"/>
    <w:rsid w:val="00AD0CF0"/>
    <w:rsid w:val="00AD1FE2"/>
    <w:rsid w:val="00AD515B"/>
    <w:rsid w:val="00AD5482"/>
    <w:rsid w:val="00AD5ED7"/>
    <w:rsid w:val="00AD63E4"/>
    <w:rsid w:val="00AD6E00"/>
    <w:rsid w:val="00AD7A04"/>
    <w:rsid w:val="00AE1D86"/>
    <w:rsid w:val="00AE239F"/>
    <w:rsid w:val="00AE49E7"/>
    <w:rsid w:val="00AE60BD"/>
    <w:rsid w:val="00AF1998"/>
    <w:rsid w:val="00AF202E"/>
    <w:rsid w:val="00AF455B"/>
    <w:rsid w:val="00AF46FF"/>
    <w:rsid w:val="00AF4D51"/>
    <w:rsid w:val="00AF4DBE"/>
    <w:rsid w:val="00AF76C0"/>
    <w:rsid w:val="00B005C4"/>
    <w:rsid w:val="00B00729"/>
    <w:rsid w:val="00B022A4"/>
    <w:rsid w:val="00B02505"/>
    <w:rsid w:val="00B02F1F"/>
    <w:rsid w:val="00B044C4"/>
    <w:rsid w:val="00B0459F"/>
    <w:rsid w:val="00B04A7E"/>
    <w:rsid w:val="00B05A75"/>
    <w:rsid w:val="00B112B3"/>
    <w:rsid w:val="00B1154A"/>
    <w:rsid w:val="00B11C01"/>
    <w:rsid w:val="00B130AD"/>
    <w:rsid w:val="00B13BB1"/>
    <w:rsid w:val="00B146CD"/>
    <w:rsid w:val="00B16034"/>
    <w:rsid w:val="00B17CE4"/>
    <w:rsid w:val="00B21A59"/>
    <w:rsid w:val="00B2535F"/>
    <w:rsid w:val="00B25782"/>
    <w:rsid w:val="00B25987"/>
    <w:rsid w:val="00B26F2E"/>
    <w:rsid w:val="00B2797A"/>
    <w:rsid w:val="00B27FE4"/>
    <w:rsid w:val="00B307DE"/>
    <w:rsid w:val="00B3180A"/>
    <w:rsid w:val="00B31ACE"/>
    <w:rsid w:val="00B31CEF"/>
    <w:rsid w:val="00B3295A"/>
    <w:rsid w:val="00B32BA2"/>
    <w:rsid w:val="00B33024"/>
    <w:rsid w:val="00B339A6"/>
    <w:rsid w:val="00B34487"/>
    <w:rsid w:val="00B35101"/>
    <w:rsid w:val="00B35CCE"/>
    <w:rsid w:val="00B35F6D"/>
    <w:rsid w:val="00B361D9"/>
    <w:rsid w:val="00B37739"/>
    <w:rsid w:val="00B41AD4"/>
    <w:rsid w:val="00B42785"/>
    <w:rsid w:val="00B44CA3"/>
    <w:rsid w:val="00B44F6C"/>
    <w:rsid w:val="00B460D9"/>
    <w:rsid w:val="00B47A78"/>
    <w:rsid w:val="00B54042"/>
    <w:rsid w:val="00B54701"/>
    <w:rsid w:val="00B55B80"/>
    <w:rsid w:val="00B5652D"/>
    <w:rsid w:val="00B57D44"/>
    <w:rsid w:val="00B607FC"/>
    <w:rsid w:val="00B61018"/>
    <w:rsid w:val="00B6148C"/>
    <w:rsid w:val="00B62E91"/>
    <w:rsid w:val="00B6431E"/>
    <w:rsid w:val="00B648CB"/>
    <w:rsid w:val="00B65D77"/>
    <w:rsid w:val="00B66DC7"/>
    <w:rsid w:val="00B67550"/>
    <w:rsid w:val="00B71327"/>
    <w:rsid w:val="00B73465"/>
    <w:rsid w:val="00B73CAB"/>
    <w:rsid w:val="00B7425D"/>
    <w:rsid w:val="00B756EE"/>
    <w:rsid w:val="00B759D4"/>
    <w:rsid w:val="00B81737"/>
    <w:rsid w:val="00B84BC5"/>
    <w:rsid w:val="00B84FD0"/>
    <w:rsid w:val="00B87956"/>
    <w:rsid w:val="00B87AEB"/>
    <w:rsid w:val="00B905A2"/>
    <w:rsid w:val="00B90824"/>
    <w:rsid w:val="00B9291C"/>
    <w:rsid w:val="00B92D8F"/>
    <w:rsid w:val="00B933E3"/>
    <w:rsid w:val="00B948AF"/>
    <w:rsid w:val="00B9519A"/>
    <w:rsid w:val="00B9561C"/>
    <w:rsid w:val="00B95953"/>
    <w:rsid w:val="00B95B07"/>
    <w:rsid w:val="00B9672E"/>
    <w:rsid w:val="00B96D66"/>
    <w:rsid w:val="00BA034B"/>
    <w:rsid w:val="00BA2C6E"/>
    <w:rsid w:val="00BA33BE"/>
    <w:rsid w:val="00BA3F71"/>
    <w:rsid w:val="00BA4CC6"/>
    <w:rsid w:val="00BA7746"/>
    <w:rsid w:val="00BB15F7"/>
    <w:rsid w:val="00BB187C"/>
    <w:rsid w:val="00BB2701"/>
    <w:rsid w:val="00BB3558"/>
    <w:rsid w:val="00BB3D2D"/>
    <w:rsid w:val="00BB5121"/>
    <w:rsid w:val="00BB55E5"/>
    <w:rsid w:val="00BB68D2"/>
    <w:rsid w:val="00BB7112"/>
    <w:rsid w:val="00BB76F2"/>
    <w:rsid w:val="00BB7F2B"/>
    <w:rsid w:val="00BC0E81"/>
    <w:rsid w:val="00BC5B9E"/>
    <w:rsid w:val="00BC64F4"/>
    <w:rsid w:val="00BC6809"/>
    <w:rsid w:val="00BC6E92"/>
    <w:rsid w:val="00BD03DF"/>
    <w:rsid w:val="00BD2B05"/>
    <w:rsid w:val="00BD2FAF"/>
    <w:rsid w:val="00BD33C0"/>
    <w:rsid w:val="00BD5B93"/>
    <w:rsid w:val="00BD6525"/>
    <w:rsid w:val="00BD72EA"/>
    <w:rsid w:val="00BE14B8"/>
    <w:rsid w:val="00BE3CBD"/>
    <w:rsid w:val="00BE5051"/>
    <w:rsid w:val="00BE5574"/>
    <w:rsid w:val="00BE606B"/>
    <w:rsid w:val="00BF0D79"/>
    <w:rsid w:val="00BF0F4A"/>
    <w:rsid w:val="00BF1923"/>
    <w:rsid w:val="00BF2D29"/>
    <w:rsid w:val="00BF6B8B"/>
    <w:rsid w:val="00BF7F15"/>
    <w:rsid w:val="00C0012B"/>
    <w:rsid w:val="00C00CC4"/>
    <w:rsid w:val="00C03F3E"/>
    <w:rsid w:val="00C072C9"/>
    <w:rsid w:val="00C11F65"/>
    <w:rsid w:val="00C12076"/>
    <w:rsid w:val="00C139E3"/>
    <w:rsid w:val="00C1576C"/>
    <w:rsid w:val="00C15CCC"/>
    <w:rsid w:val="00C17376"/>
    <w:rsid w:val="00C220F4"/>
    <w:rsid w:val="00C2222E"/>
    <w:rsid w:val="00C23C18"/>
    <w:rsid w:val="00C2537A"/>
    <w:rsid w:val="00C26B9C"/>
    <w:rsid w:val="00C27D24"/>
    <w:rsid w:val="00C30F1F"/>
    <w:rsid w:val="00C3463C"/>
    <w:rsid w:val="00C34F95"/>
    <w:rsid w:val="00C35842"/>
    <w:rsid w:val="00C423D4"/>
    <w:rsid w:val="00C430E8"/>
    <w:rsid w:val="00C454A8"/>
    <w:rsid w:val="00C45D43"/>
    <w:rsid w:val="00C46347"/>
    <w:rsid w:val="00C47947"/>
    <w:rsid w:val="00C53F31"/>
    <w:rsid w:val="00C54D2C"/>
    <w:rsid w:val="00C6047F"/>
    <w:rsid w:val="00C61424"/>
    <w:rsid w:val="00C6267E"/>
    <w:rsid w:val="00C63015"/>
    <w:rsid w:val="00C63050"/>
    <w:rsid w:val="00C63422"/>
    <w:rsid w:val="00C641EA"/>
    <w:rsid w:val="00C70BD4"/>
    <w:rsid w:val="00C7340D"/>
    <w:rsid w:val="00C74810"/>
    <w:rsid w:val="00C75158"/>
    <w:rsid w:val="00C75330"/>
    <w:rsid w:val="00C7659D"/>
    <w:rsid w:val="00C85CD1"/>
    <w:rsid w:val="00C864CE"/>
    <w:rsid w:val="00C86CD3"/>
    <w:rsid w:val="00C87F85"/>
    <w:rsid w:val="00C912F9"/>
    <w:rsid w:val="00C9147F"/>
    <w:rsid w:val="00C93EC1"/>
    <w:rsid w:val="00C93EC6"/>
    <w:rsid w:val="00C957AF"/>
    <w:rsid w:val="00CA4573"/>
    <w:rsid w:val="00CA4B8F"/>
    <w:rsid w:val="00CA5286"/>
    <w:rsid w:val="00CB066B"/>
    <w:rsid w:val="00CB0AE7"/>
    <w:rsid w:val="00CB1E1F"/>
    <w:rsid w:val="00CB20D3"/>
    <w:rsid w:val="00CB27A4"/>
    <w:rsid w:val="00CB2C22"/>
    <w:rsid w:val="00CB61D8"/>
    <w:rsid w:val="00CB6886"/>
    <w:rsid w:val="00CB725E"/>
    <w:rsid w:val="00CC0525"/>
    <w:rsid w:val="00CC118A"/>
    <w:rsid w:val="00CC3A80"/>
    <w:rsid w:val="00CC642D"/>
    <w:rsid w:val="00CC753A"/>
    <w:rsid w:val="00CD031D"/>
    <w:rsid w:val="00CD0510"/>
    <w:rsid w:val="00CD1D18"/>
    <w:rsid w:val="00CD2543"/>
    <w:rsid w:val="00CD39D7"/>
    <w:rsid w:val="00CD3FDD"/>
    <w:rsid w:val="00CD4BDD"/>
    <w:rsid w:val="00CD548A"/>
    <w:rsid w:val="00CD608C"/>
    <w:rsid w:val="00CD6F6B"/>
    <w:rsid w:val="00CE1CE4"/>
    <w:rsid w:val="00CE3B48"/>
    <w:rsid w:val="00CE4AAB"/>
    <w:rsid w:val="00CE54B9"/>
    <w:rsid w:val="00CE66DA"/>
    <w:rsid w:val="00CE698B"/>
    <w:rsid w:val="00CE734D"/>
    <w:rsid w:val="00CE7864"/>
    <w:rsid w:val="00CE7BD2"/>
    <w:rsid w:val="00CF03BA"/>
    <w:rsid w:val="00CF1376"/>
    <w:rsid w:val="00CF195F"/>
    <w:rsid w:val="00CF7416"/>
    <w:rsid w:val="00CF79F2"/>
    <w:rsid w:val="00CF7F91"/>
    <w:rsid w:val="00D002A5"/>
    <w:rsid w:val="00D02064"/>
    <w:rsid w:val="00D0280E"/>
    <w:rsid w:val="00D02AC3"/>
    <w:rsid w:val="00D02DB9"/>
    <w:rsid w:val="00D034F6"/>
    <w:rsid w:val="00D0366F"/>
    <w:rsid w:val="00D052F8"/>
    <w:rsid w:val="00D05BA6"/>
    <w:rsid w:val="00D0736B"/>
    <w:rsid w:val="00D076AA"/>
    <w:rsid w:val="00D107F4"/>
    <w:rsid w:val="00D11B67"/>
    <w:rsid w:val="00D12AFA"/>
    <w:rsid w:val="00D12BBE"/>
    <w:rsid w:val="00D15425"/>
    <w:rsid w:val="00D1613C"/>
    <w:rsid w:val="00D1621A"/>
    <w:rsid w:val="00D16518"/>
    <w:rsid w:val="00D1721D"/>
    <w:rsid w:val="00D20211"/>
    <w:rsid w:val="00D20417"/>
    <w:rsid w:val="00D220A9"/>
    <w:rsid w:val="00D226D0"/>
    <w:rsid w:val="00D24BB4"/>
    <w:rsid w:val="00D25CD2"/>
    <w:rsid w:val="00D27302"/>
    <w:rsid w:val="00D31767"/>
    <w:rsid w:val="00D32E9A"/>
    <w:rsid w:val="00D333E6"/>
    <w:rsid w:val="00D3419F"/>
    <w:rsid w:val="00D35A54"/>
    <w:rsid w:val="00D35E7D"/>
    <w:rsid w:val="00D366A3"/>
    <w:rsid w:val="00D36A97"/>
    <w:rsid w:val="00D37D58"/>
    <w:rsid w:val="00D4120F"/>
    <w:rsid w:val="00D412B7"/>
    <w:rsid w:val="00D41F7B"/>
    <w:rsid w:val="00D421EF"/>
    <w:rsid w:val="00D42695"/>
    <w:rsid w:val="00D43BE3"/>
    <w:rsid w:val="00D43C08"/>
    <w:rsid w:val="00D44748"/>
    <w:rsid w:val="00D4557E"/>
    <w:rsid w:val="00D46F1A"/>
    <w:rsid w:val="00D4797E"/>
    <w:rsid w:val="00D508B5"/>
    <w:rsid w:val="00D5156D"/>
    <w:rsid w:val="00D5423D"/>
    <w:rsid w:val="00D55F37"/>
    <w:rsid w:val="00D55F5D"/>
    <w:rsid w:val="00D56222"/>
    <w:rsid w:val="00D567B8"/>
    <w:rsid w:val="00D56BD6"/>
    <w:rsid w:val="00D56E50"/>
    <w:rsid w:val="00D61615"/>
    <w:rsid w:val="00D63184"/>
    <w:rsid w:val="00D6338C"/>
    <w:rsid w:val="00D65183"/>
    <w:rsid w:val="00D675D6"/>
    <w:rsid w:val="00D7106D"/>
    <w:rsid w:val="00D716C9"/>
    <w:rsid w:val="00D74B49"/>
    <w:rsid w:val="00D74C9B"/>
    <w:rsid w:val="00D74CF8"/>
    <w:rsid w:val="00D74D64"/>
    <w:rsid w:val="00D754BA"/>
    <w:rsid w:val="00D75C74"/>
    <w:rsid w:val="00D75E6D"/>
    <w:rsid w:val="00D75F48"/>
    <w:rsid w:val="00D81A7C"/>
    <w:rsid w:val="00D81F3D"/>
    <w:rsid w:val="00D821F6"/>
    <w:rsid w:val="00D82A62"/>
    <w:rsid w:val="00D8487E"/>
    <w:rsid w:val="00D85892"/>
    <w:rsid w:val="00D8712B"/>
    <w:rsid w:val="00D90DCE"/>
    <w:rsid w:val="00D916AA"/>
    <w:rsid w:val="00D91A08"/>
    <w:rsid w:val="00D92EFD"/>
    <w:rsid w:val="00D954A9"/>
    <w:rsid w:val="00D957EF"/>
    <w:rsid w:val="00D959A4"/>
    <w:rsid w:val="00D95AFA"/>
    <w:rsid w:val="00D9775A"/>
    <w:rsid w:val="00DA068E"/>
    <w:rsid w:val="00DA09FE"/>
    <w:rsid w:val="00DA3706"/>
    <w:rsid w:val="00DA37E5"/>
    <w:rsid w:val="00DA3EB2"/>
    <w:rsid w:val="00DA4FD9"/>
    <w:rsid w:val="00DA5CB3"/>
    <w:rsid w:val="00DA75D3"/>
    <w:rsid w:val="00DB2E8C"/>
    <w:rsid w:val="00DB48A0"/>
    <w:rsid w:val="00DB4A5B"/>
    <w:rsid w:val="00DB5148"/>
    <w:rsid w:val="00DB5AF6"/>
    <w:rsid w:val="00DC056D"/>
    <w:rsid w:val="00DC0705"/>
    <w:rsid w:val="00DC1649"/>
    <w:rsid w:val="00DC21C4"/>
    <w:rsid w:val="00DC347C"/>
    <w:rsid w:val="00DC36BA"/>
    <w:rsid w:val="00DC7335"/>
    <w:rsid w:val="00DD0F93"/>
    <w:rsid w:val="00DD181D"/>
    <w:rsid w:val="00DD1C3E"/>
    <w:rsid w:val="00DD33F8"/>
    <w:rsid w:val="00DD5359"/>
    <w:rsid w:val="00DD610D"/>
    <w:rsid w:val="00DE0281"/>
    <w:rsid w:val="00DE087A"/>
    <w:rsid w:val="00DE0D19"/>
    <w:rsid w:val="00DE11B6"/>
    <w:rsid w:val="00DE2322"/>
    <w:rsid w:val="00DE2909"/>
    <w:rsid w:val="00DE3AB8"/>
    <w:rsid w:val="00DE4C37"/>
    <w:rsid w:val="00DE5FB7"/>
    <w:rsid w:val="00DE659E"/>
    <w:rsid w:val="00DF11F6"/>
    <w:rsid w:val="00DF2422"/>
    <w:rsid w:val="00DF77BD"/>
    <w:rsid w:val="00DF7EA7"/>
    <w:rsid w:val="00E0202B"/>
    <w:rsid w:val="00E0232A"/>
    <w:rsid w:val="00E02536"/>
    <w:rsid w:val="00E04203"/>
    <w:rsid w:val="00E05AF2"/>
    <w:rsid w:val="00E05B28"/>
    <w:rsid w:val="00E066A0"/>
    <w:rsid w:val="00E06702"/>
    <w:rsid w:val="00E070E1"/>
    <w:rsid w:val="00E079B8"/>
    <w:rsid w:val="00E07E11"/>
    <w:rsid w:val="00E102BB"/>
    <w:rsid w:val="00E11264"/>
    <w:rsid w:val="00E11681"/>
    <w:rsid w:val="00E12457"/>
    <w:rsid w:val="00E13537"/>
    <w:rsid w:val="00E14303"/>
    <w:rsid w:val="00E1466D"/>
    <w:rsid w:val="00E14A0B"/>
    <w:rsid w:val="00E15365"/>
    <w:rsid w:val="00E17011"/>
    <w:rsid w:val="00E21AB7"/>
    <w:rsid w:val="00E22799"/>
    <w:rsid w:val="00E26939"/>
    <w:rsid w:val="00E27877"/>
    <w:rsid w:val="00E27E93"/>
    <w:rsid w:val="00E34DB9"/>
    <w:rsid w:val="00E40B05"/>
    <w:rsid w:val="00E4576B"/>
    <w:rsid w:val="00E46907"/>
    <w:rsid w:val="00E478FD"/>
    <w:rsid w:val="00E52CB8"/>
    <w:rsid w:val="00E537D1"/>
    <w:rsid w:val="00E54924"/>
    <w:rsid w:val="00E54BE1"/>
    <w:rsid w:val="00E5575E"/>
    <w:rsid w:val="00E55B55"/>
    <w:rsid w:val="00E566E0"/>
    <w:rsid w:val="00E6011B"/>
    <w:rsid w:val="00E6147E"/>
    <w:rsid w:val="00E62241"/>
    <w:rsid w:val="00E6295C"/>
    <w:rsid w:val="00E62DD9"/>
    <w:rsid w:val="00E62E11"/>
    <w:rsid w:val="00E65241"/>
    <w:rsid w:val="00E660D8"/>
    <w:rsid w:val="00E70A7A"/>
    <w:rsid w:val="00E70BDF"/>
    <w:rsid w:val="00E727DE"/>
    <w:rsid w:val="00E72B6E"/>
    <w:rsid w:val="00E73258"/>
    <w:rsid w:val="00E73283"/>
    <w:rsid w:val="00E74046"/>
    <w:rsid w:val="00E7475B"/>
    <w:rsid w:val="00E75259"/>
    <w:rsid w:val="00E76778"/>
    <w:rsid w:val="00E76876"/>
    <w:rsid w:val="00E77444"/>
    <w:rsid w:val="00E84199"/>
    <w:rsid w:val="00E850B0"/>
    <w:rsid w:val="00E8550A"/>
    <w:rsid w:val="00E87EF7"/>
    <w:rsid w:val="00E91CF7"/>
    <w:rsid w:val="00E92F3B"/>
    <w:rsid w:val="00E93191"/>
    <w:rsid w:val="00EA119F"/>
    <w:rsid w:val="00EA2EEC"/>
    <w:rsid w:val="00EA2EF4"/>
    <w:rsid w:val="00EA39AF"/>
    <w:rsid w:val="00EA3E14"/>
    <w:rsid w:val="00EA4722"/>
    <w:rsid w:val="00EA4AD6"/>
    <w:rsid w:val="00EA6943"/>
    <w:rsid w:val="00EB22D2"/>
    <w:rsid w:val="00EB269B"/>
    <w:rsid w:val="00EB295F"/>
    <w:rsid w:val="00EB29BE"/>
    <w:rsid w:val="00EB5908"/>
    <w:rsid w:val="00EB5AC7"/>
    <w:rsid w:val="00EB69F5"/>
    <w:rsid w:val="00EB7AAF"/>
    <w:rsid w:val="00EC3A1C"/>
    <w:rsid w:val="00EC3DF1"/>
    <w:rsid w:val="00EC592F"/>
    <w:rsid w:val="00ED006E"/>
    <w:rsid w:val="00ED04F1"/>
    <w:rsid w:val="00ED1127"/>
    <w:rsid w:val="00ED2097"/>
    <w:rsid w:val="00ED31EB"/>
    <w:rsid w:val="00ED3944"/>
    <w:rsid w:val="00ED4C07"/>
    <w:rsid w:val="00ED4C76"/>
    <w:rsid w:val="00ED50FE"/>
    <w:rsid w:val="00ED5304"/>
    <w:rsid w:val="00ED5737"/>
    <w:rsid w:val="00ED589C"/>
    <w:rsid w:val="00ED654E"/>
    <w:rsid w:val="00ED6A30"/>
    <w:rsid w:val="00EE075E"/>
    <w:rsid w:val="00EE20DB"/>
    <w:rsid w:val="00EE5792"/>
    <w:rsid w:val="00EE6AD1"/>
    <w:rsid w:val="00EE747B"/>
    <w:rsid w:val="00EF0A09"/>
    <w:rsid w:val="00EF1027"/>
    <w:rsid w:val="00EF3BEC"/>
    <w:rsid w:val="00EF3C51"/>
    <w:rsid w:val="00EF42CB"/>
    <w:rsid w:val="00EF6E2A"/>
    <w:rsid w:val="00F00C73"/>
    <w:rsid w:val="00F0283D"/>
    <w:rsid w:val="00F05628"/>
    <w:rsid w:val="00F0677E"/>
    <w:rsid w:val="00F072B5"/>
    <w:rsid w:val="00F07F62"/>
    <w:rsid w:val="00F11F02"/>
    <w:rsid w:val="00F122CD"/>
    <w:rsid w:val="00F1314F"/>
    <w:rsid w:val="00F1318F"/>
    <w:rsid w:val="00F139C3"/>
    <w:rsid w:val="00F142BB"/>
    <w:rsid w:val="00F16DD1"/>
    <w:rsid w:val="00F207CA"/>
    <w:rsid w:val="00F212B8"/>
    <w:rsid w:val="00F224A7"/>
    <w:rsid w:val="00F23563"/>
    <w:rsid w:val="00F25260"/>
    <w:rsid w:val="00F258A1"/>
    <w:rsid w:val="00F26218"/>
    <w:rsid w:val="00F277F1"/>
    <w:rsid w:val="00F307B4"/>
    <w:rsid w:val="00F3098B"/>
    <w:rsid w:val="00F373C4"/>
    <w:rsid w:val="00F37B81"/>
    <w:rsid w:val="00F407B6"/>
    <w:rsid w:val="00F413FE"/>
    <w:rsid w:val="00F4171E"/>
    <w:rsid w:val="00F441D8"/>
    <w:rsid w:val="00F46754"/>
    <w:rsid w:val="00F46E2C"/>
    <w:rsid w:val="00F501A7"/>
    <w:rsid w:val="00F51EE8"/>
    <w:rsid w:val="00F524C9"/>
    <w:rsid w:val="00F535AC"/>
    <w:rsid w:val="00F544ED"/>
    <w:rsid w:val="00F55AB8"/>
    <w:rsid w:val="00F56541"/>
    <w:rsid w:val="00F56F06"/>
    <w:rsid w:val="00F60B9A"/>
    <w:rsid w:val="00F62121"/>
    <w:rsid w:val="00F62A8D"/>
    <w:rsid w:val="00F62C96"/>
    <w:rsid w:val="00F640BA"/>
    <w:rsid w:val="00F65871"/>
    <w:rsid w:val="00F67011"/>
    <w:rsid w:val="00F75285"/>
    <w:rsid w:val="00F7796C"/>
    <w:rsid w:val="00F81F60"/>
    <w:rsid w:val="00F82783"/>
    <w:rsid w:val="00F82F83"/>
    <w:rsid w:val="00F83482"/>
    <w:rsid w:val="00F84EE0"/>
    <w:rsid w:val="00F851DA"/>
    <w:rsid w:val="00F85BB3"/>
    <w:rsid w:val="00F8607B"/>
    <w:rsid w:val="00F87F84"/>
    <w:rsid w:val="00F90953"/>
    <w:rsid w:val="00F91294"/>
    <w:rsid w:val="00F918A3"/>
    <w:rsid w:val="00F955A7"/>
    <w:rsid w:val="00F97686"/>
    <w:rsid w:val="00FA1351"/>
    <w:rsid w:val="00FA2219"/>
    <w:rsid w:val="00FA2502"/>
    <w:rsid w:val="00FA2556"/>
    <w:rsid w:val="00FA312B"/>
    <w:rsid w:val="00FA4BC9"/>
    <w:rsid w:val="00FA4CC3"/>
    <w:rsid w:val="00FA5B42"/>
    <w:rsid w:val="00FA6FD3"/>
    <w:rsid w:val="00FB0E4A"/>
    <w:rsid w:val="00FB10EF"/>
    <w:rsid w:val="00FB1A71"/>
    <w:rsid w:val="00FB2564"/>
    <w:rsid w:val="00FB2E36"/>
    <w:rsid w:val="00FB375A"/>
    <w:rsid w:val="00FB37E4"/>
    <w:rsid w:val="00FB3827"/>
    <w:rsid w:val="00FB3DDF"/>
    <w:rsid w:val="00FB3E43"/>
    <w:rsid w:val="00FB54B7"/>
    <w:rsid w:val="00FB5E8F"/>
    <w:rsid w:val="00FB69FE"/>
    <w:rsid w:val="00FB6E21"/>
    <w:rsid w:val="00FB74AB"/>
    <w:rsid w:val="00FB7733"/>
    <w:rsid w:val="00FB7D04"/>
    <w:rsid w:val="00FC03D7"/>
    <w:rsid w:val="00FC0C7E"/>
    <w:rsid w:val="00FC1FE3"/>
    <w:rsid w:val="00FC2240"/>
    <w:rsid w:val="00FC558F"/>
    <w:rsid w:val="00FC5E76"/>
    <w:rsid w:val="00FC5F2F"/>
    <w:rsid w:val="00FC71CC"/>
    <w:rsid w:val="00FC7369"/>
    <w:rsid w:val="00FC795A"/>
    <w:rsid w:val="00FD0689"/>
    <w:rsid w:val="00FD0792"/>
    <w:rsid w:val="00FD1FA2"/>
    <w:rsid w:val="00FD27BF"/>
    <w:rsid w:val="00FD3A7C"/>
    <w:rsid w:val="00FD3E22"/>
    <w:rsid w:val="00FD56FD"/>
    <w:rsid w:val="00FD5C59"/>
    <w:rsid w:val="00FD7BBC"/>
    <w:rsid w:val="00FD7F64"/>
    <w:rsid w:val="00FE0562"/>
    <w:rsid w:val="00FE0B35"/>
    <w:rsid w:val="00FE1B11"/>
    <w:rsid w:val="00FE248C"/>
    <w:rsid w:val="00FE3E15"/>
    <w:rsid w:val="00FE407B"/>
    <w:rsid w:val="00FE4B0F"/>
    <w:rsid w:val="00FE6090"/>
    <w:rsid w:val="00FF09C9"/>
    <w:rsid w:val="00FF323B"/>
    <w:rsid w:val="00FF3329"/>
    <w:rsid w:val="00FF3D6F"/>
    <w:rsid w:val="00FF3E78"/>
    <w:rsid w:val="00FF43E1"/>
    <w:rsid w:val="00FF46F8"/>
    <w:rsid w:val="00FF4881"/>
    <w:rsid w:val="00FF5458"/>
    <w:rsid w:val="00FF593A"/>
    <w:rsid w:val="00FF6E99"/>
    <w:rsid w:val="39D71B30"/>
    <w:rsid w:val="474B844E"/>
    <w:rsid w:val="7BBDADE6"/>
    <w:rsid w:val="EF7FACA2"/>
    <w:rsid w:val="F7BE765D"/>
    <w:rsid w:val="FB4FDCEE"/>
    <w:rsid w:val="FC6DB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9"/>
    <w:pPr>
      <w:outlineLvl w:val="0"/>
    </w:pPr>
    <w:rPr>
      <w:rFonts w:ascii="黑体" w:eastAsia="黑体"/>
      <w:bCs/>
      <w:kern w:val="44"/>
      <w:szCs w:val="44"/>
    </w:rPr>
  </w:style>
  <w:style w:type="paragraph" w:styleId="3">
    <w:name w:val="heading 2"/>
    <w:basedOn w:val="1"/>
    <w:next w:val="1"/>
    <w:link w:val="11"/>
    <w:unhideWhenUsed/>
    <w:qFormat/>
    <w:uiPriority w:val="9"/>
    <w:pPr>
      <w:outlineLvl w:val="1"/>
    </w:pPr>
    <w:rPr>
      <w:rFonts w:eastAsia="楷体_GB2312" w:asciiTheme="majorHAnsi" w:hAnsiTheme="majorHAnsi" w:cstheme="majorBidi"/>
      <w:bCs/>
      <w:szCs w:val="32"/>
    </w:rPr>
  </w:style>
  <w:style w:type="paragraph" w:styleId="4">
    <w:name w:val="heading 3"/>
    <w:basedOn w:val="1"/>
    <w:next w:val="1"/>
    <w:link w:val="12"/>
    <w:unhideWhenUsed/>
    <w:qFormat/>
    <w:uiPriority w:val="9"/>
    <w:pPr>
      <w:spacing w:before="260" w:after="260" w:line="416" w:lineRule="atLeast"/>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7"/>
    <w:qFormat/>
    <w:uiPriority w:val="0"/>
    <w:pPr>
      <w:tabs>
        <w:tab w:val="center" w:pos="4153"/>
        <w:tab w:val="right" w:pos="8306"/>
      </w:tabs>
      <w:snapToGrid w:val="0"/>
    </w:pPr>
    <w:rPr>
      <w:rFonts w:asciiTheme="minorHAnsi" w:eastAsiaTheme="minorEastAsia"/>
      <w:sz w:val="18"/>
    </w:rPr>
  </w:style>
  <w:style w:type="paragraph" w:styleId="7">
    <w:name w:val="Title"/>
    <w:basedOn w:val="1"/>
    <w:next w:val="1"/>
    <w:link w:val="13"/>
    <w:qFormat/>
    <w:uiPriority w:val="10"/>
    <w:pPr>
      <w:adjustRightInd w:val="0"/>
      <w:ind w:right="400" w:rightChars="400"/>
      <w:jc w:val="right"/>
      <w:outlineLvl w:val="0"/>
    </w:pPr>
    <w:rPr>
      <w:rFonts w:hAnsiTheme="majorHAnsi" w:cstheme="majorBidi"/>
      <w:bCs/>
      <w:szCs w:val="32"/>
    </w:rPr>
  </w:style>
  <w:style w:type="paragraph" w:styleId="10">
    <w:name w:val="No Spacing"/>
    <w:qFormat/>
    <w:uiPriority w:val="1"/>
    <w:pPr>
      <w:widowControl w:val="0"/>
      <w:spacing w:line="600" w:lineRule="exact"/>
      <w:jc w:val="center"/>
    </w:pPr>
    <w:rPr>
      <w:rFonts w:ascii="方正小标宋简体" w:eastAsia="方正小标宋简体" w:hAnsiTheme="minorHAnsi" w:cstheme="minorBidi"/>
      <w:color w:val="000000" w:themeColor="text1"/>
      <w:kern w:val="2"/>
      <w:sz w:val="44"/>
      <w:szCs w:val="22"/>
      <w:lang w:val="en-US" w:eastAsia="zh-CN" w:bidi="ar-SA"/>
      <w14:textFill>
        <w14:solidFill>
          <w14:schemeClr w14:val="tx1"/>
        </w14:solidFill>
      </w14:textFill>
    </w:rPr>
  </w:style>
  <w:style w:type="character" w:customStyle="1" w:styleId="11">
    <w:name w:val="标题 2 Char"/>
    <w:basedOn w:val="9"/>
    <w:link w:val="3"/>
    <w:qFormat/>
    <w:uiPriority w:val="9"/>
    <w:rPr>
      <w:rFonts w:eastAsia="楷体_GB2312" w:asciiTheme="majorHAnsi" w:hAnsiTheme="majorHAnsi" w:cstheme="majorBidi"/>
      <w:bCs/>
      <w:color w:val="000000" w:themeColor="text1"/>
      <w:sz w:val="32"/>
      <w:szCs w:val="32"/>
      <w14:textFill>
        <w14:solidFill>
          <w14:schemeClr w14:val="tx1"/>
        </w14:solidFill>
      </w14:textFill>
    </w:rPr>
  </w:style>
  <w:style w:type="character" w:customStyle="1" w:styleId="12">
    <w:name w:val="标题 3 Char"/>
    <w:basedOn w:val="9"/>
    <w:link w:val="4"/>
    <w:qFormat/>
    <w:uiPriority w:val="9"/>
    <w:rPr>
      <w:rFonts w:ascii="仿宋_GB2312" w:eastAsia="仿宋_GB2312"/>
      <w:b/>
      <w:bCs/>
      <w:color w:val="000000" w:themeColor="text1"/>
      <w:sz w:val="32"/>
      <w:szCs w:val="32"/>
      <w14:textFill>
        <w14:solidFill>
          <w14:schemeClr w14:val="tx1"/>
        </w14:solidFill>
      </w14:textFill>
    </w:rPr>
  </w:style>
  <w:style w:type="character" w:customStyle="1" w:styleId="13">
    <w:name w:val="标题 Char"/>
    <w:basedOn w:val="9"/>
    <w:link w:val="7"/>
    <w:qFormat/>
    <w:uiPriority w:val="10"/>
    <w:rPr>
      <w:rFonts w:ascii="仿宋_GB2312" w:eastAsia="仿宋_GB2312" w:hAnsiTheme="majorHAnsi" w:cstheme="majorBidi"/>
      <w:bCs/>
      <w:color w:val="000000" w:themeColor="text1"/>
      <w:sz w:val="32"/>
      <w:szCs w:val="32"/>
      <w14:textFill>
        <w14:solidFill>
          <w14:schemeClr w14:val="tx1"/>
        </w14:solidFill>
      </w14:textFill>
    </w:rPr>
  </w:style>
  <w:style w:type="character" w:customStyle="1" w:styleId="14">
    <w:name w:val="标题 1 Char"/>
    <w:basedOn w:val="9"/>
    <w:link w:val="2"/>
    <w:qFormat/>
    <w:uiPriority w:val="9"/>
    <w:rPr>
      <w:rFonts w:ascii="黑体" w:eastAsia="黑体"/>
      <w:bCs/>
      <w:color w:val="000000" w:themeColor="text1"/>
      <w:kern w:val="44"/>
      <w:sz w:val="32"/>
      <w:szCs w:val="44"/>
      <w14:textFill>
        <w14:solidFill>
          <w14:schemeClr w14:val="tx1"/>
        </w14:solidFill>
      </w14:textFill>
    </w:rPr>
  </w:style>
  <w:style w:type="paragraph" w:customStyle="1" w:styleId="15">
    <w:name w:val="三级标题"/>
    <w:basedOn w:val="1"/>
    <w:link w:val="16"/>
    <w:qFormat/>
    <w:uiPriority w:val="0"/>
    <w:pPr>
      <w:ind w:firstLine="629"/>
    </w:pPr>
    <w:rPr>
      <w:rFonts w:ascii="楷体" w:hAnsi="楷体" w:eastAsia="楷体" w:cs="楷体"/>
      <w:szCs w:val="32"/>
    </w:rPr>
  </w:style>
  <w:style w:type="character" w:customStyle="1" w:styleId="16">
    <w:name w:val="三级标题 Char"/>
    <w:basedOn w:val="9"/>
    <w:link w:val="15"/>
    <w:qFormat/>
    <w:uiPriority w:val="0"/>
    <w:rPr>
      <w:rFonts w:ascii="楷体" w:hAnsi="楷体" w:eastAsia="楷体" w:cs="楷体"/>
      <w:sz w:val="32"/>
      <w:szCs w:val="32"/>
    </w:rPr>
  </w:style>
  <w:style w:type="character" w:customStyle="1" w:styleId="17">
    <w:name w:val="页眉 Char"/>
    <w:basedOn w:val="9"/>
    <w:link w:val="6"/>
    <w:qFormat/>
    <w:uiPriority w:val="0"/>
    <w:rPr>
      <w:sz w:val="18"/>
    </w:rPr>
  </w:style>
  <w:style w:type="character" w:customStyle="1" w:styleId="18">
    <w:name w:val="页脚 Char"/>
    <w:basedOn w:val="9"/>
    <w:link w:val="5"/>
    <w:semiHidden/>
    <w:qFormat/>
    <w:uiPriority w:val="99"/>
    <w:rPr>
      <w:rFonts w:ascii="仿宋_GB2312" w:eastAsia="仿宋_GB2312"/>
      <w:color w:val="000000" w:themeColor="text1"/>
      <w:sz w:val="18"/>
      <w:szCs w:val="18"/>
      <w14:textFill>
        <w14:solidFill>
          <w14:schemeClr w14:val="tx1"/>
        </w14:solidFill>
      </w14:textFill>
    </w:rPr>
  </w:style>
  <w:style w:type="character" w:customStyle="1" w:styleId="19">
    <w:name w:val="标题 Char1"/>
    <w:qFormat/>
    <w:uiPriority w:val="10"/>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147</Words>
  <Characters>838</Characters>
  <Lines>6</Lines>
  <Paragraphs>1</Paragraphs>
  <TotalTime>1</TotalTime>
  <ScaleCrop>false</ScaleCrop>
  <LinksUpToDate>false</LinksUpToDate>
  <CharactersWithSpaces>984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2020-11-11T01:10:00Z</dcterms:created>
  <dc:creator>买刚</dc:creator>
  <cp:lastModifiedBy>wlt</cp:lastModifiedBy>
  <dcterms:modified xsi:type="dcterms:W3CDTF">2024-07-04T09:14:52Z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