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8764E">
      <w:pPr>
        <w:keepNext w:val="0"/>
        <w:keepLines w:val="0"/>
        <w:pageBreakBefore w:val="0"/>
        <w:widowControl/>
        <w:suppressLineNumbers w:val="0"/>
        <w:kinsoku/>
        <w:wordWrap/>
        <w:overflowPunct w:val="0"/>
        <w:topLinePunct/>
        <w:autoSpaceDE w:val="0"/>
        <w:autoSpaceDN/>
        <w:bidi w:val="0"/>
        <w:adjustRightInd/>
        <w:snapToGrid/>
        <w:spacing w:before="0" w:beforeAutospacing="0" w:after="0" w:afterAutospacing="0" w:line="600" w:lineRule="exact"/>
        <w:ind w:left="0" w:right="0"/>
        <w:jc w:val="center"/>
        <w:textAlignment w:val="baseline"/>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关于推动新时代宁夏文物事业</w:t>
      </w:r>
    </w:p>
    <w:p w14:paraId="7D3C870E">
      <w:pPr>
        <w:keepNext w:val="0"/>
        <w:keepLines w:val="0"/>
        <w:pageBreakBefore w:val="0"/>
        <w:widowControl/>
        <w:suppressLineNumbers w:val="0"/>
        <w:kinsoku/>
        <w:wordWrap/>
        <w:overflowPunct w:val="0"/>
        <w:topLinePunct/>
        <w:autoSpaceDE w:val="0"/>
        <w:autoSpaceDN/>
        <w:bidi w:val="0"/>
        <w:adjustRightInd/>
        <w:snapToGrid/>
        <w:spacing w:before="0" w:beforeAutospacing="0" w:after="0" w:afterAutospacing="0" w:line="600" w:lineRule="exact"/>
        <w:ind w:left="0" w:right="0"/>
        <w:jc w:val="center"/>
        <w:textAlignment w:val="baseline"/>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高质量发展的实施意见</w:t>
      </w:r>
    </w:p>
    <w:p w14:paraId="78B1357B">
      <w:pPr>
        <w:keepNext w:val="0"/>
        <w:keepLines w:val="0"/>
        <w:widowControl/>
        <w:suppressLineNumbers w:val="0"/>
        <w:overflowPunct w:val="0"/>
        <w:topLinePunct/>
        <w:autoSpaceDE w:val="0"/>
        <w:autoSpaceDN/>
        <w:spacing w:before="0" w:beforeAutospacing="0" w:after="0" w:afterAutospacing="0" w:line="560" w:lineRule="exact"/>
        <w:ind w:left="0" w:right="0"/>
        <w:jc w:val="center"/>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（征求意见稿）</w:t>
      </w:r>
    </w:p>
    <w:p w14:paraId="26803E95">
      <w:pPr>
        <w:keepNext w:val="0"/>
        <w:keepLines w:val="0"/>
        <w:widowControl/>
        <w:suppressLineNumbers w:val="0"/>
        <w:overflowPunct w:val="0"/>
        <w:topLinePunct/>
        <w:autoSpaceDE w:val="0"/>
        <w:autoSpaceDN/>
        <w:spacing w:before="0" w:beforeAutospacing="0" w:after="0" w:afterAutospacing="0" w:line="560" w:lineRule="exact"/>
        <w:ind w:left="0" w:right="0" w:firstLine="412" w:firstLineChars="20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2E8AABA">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为深入学习贯彻习近平文化思想和习近平总书记关于文物工作的重要论述，全面贯彻落实党中央关于新时代文物工作的决策部署，统筹做好文物保护、管理、研究、利用，全面加强新时</w:t>
      </w:r>
      <w:r>
        <w:rPr>
          <w:rFonts w:hint="eastAsia" w:ascii="仿宋_GB2312" w:hAnsi="Calibri" w:eastAsia="仿宋_GB2312" w:cs="仿宋_GB2312"/>
          <w:spacing w:val="-6"/>
          <w:kern w:val="2"/>
          <w:sz w:val="32"/>
          <w:szCs w:val="32"/>
          <w:lang w:val="en-US" w:eastAsia="zh-CN" w:bidi="ar"/>
        </w:rPr>
        <w:t>代文物工作，推动我区文物事业高质量发展，提出如下实施意见。</w:t>
      </w:r>
    </w:p>
    <w:p w14:paraId="3C4A113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一、总体要求</w:t>
      </w:r>
    </w:p>
    <w:p w14:paraId="4838F24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坚持以习近平新时代中国特色社会主义思想为指导，深入学习贯彻习近平文化思想和习近平总书记关于文物工作的重要论述，全面落实文化遗产保护传承座谈会和全国文物工作会议精神，坚持“保护第一、加强管理、挖掘价值、有效利用、让文物活起来”的新时代文物工作方针，牢牢把握新时代新的文化使命，加强文物资源系统性、科学性保护，深化考古研究阐释和文物资源活化利用，进一步激发博物馆活力，推进文物治理体系和治理能力现代化，努力建设习近平文化思想最优实践地和新时代文化强区，为建设社会主义现代化美丽新宁夏提供强大精神力量、有利文化条件。</w:t>
      </w:r>
    </w:p>
    <w:p w14:paraId="6E2D3132">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二、主要任务</w:t>
      </w:r>
    </w:p>
    <w:p w14:paraId="5247E96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（一）加大文物保护力度</w:t>
      </w:r>
    </w:p>
    <w:p w14:paraId="3FD78291">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eastAsia" w:ascii="仿宋_GB2312" w:hAnsi="Calibri" w:eastAsia="仿宋_GB2312" w:cs="仿宋_GB2312"/>
          <w:b/>
          <w:bCs/>
          <w:kern w:val="2"/>
          <w:sz w:val="32"/>
          <w:szCs w:val="32"/>
          <w:lang w:val="en-US" w:eastAsia="zh-CN" w:bidi="ar"/>
        </w:rPr>
        <w:t>1.注重系统整体保护。</w:t>
      </w:r>
      <w:r>
        <w:rPr>
          <w:rFonts w:hint="eastAsia" w:ascii="仿宋_GB2312" w:hAnsi="Calibri" w:eastAsia="仿宋_GB2312" w:cs="仿宋_GB2312"/>
          <w:kern w:val="2"/>
          <w:sz w:val="32"/>
          <w:szCs w:val="32"/>
          <w:lang w:val="en-US" w:eastAsia="zh-CN" w:bidi="ar"/>
        </w:rPr>
        <w:t>始终把保护放在第一位，将文物工作纳入国民经济和社会发展规划。以国土空间规划为依据，统筹城乡建设中的文物保护利用，将文物保护与老城保护、城市更新、乡村振兴相结合，严禁大拆大建、拆真见假、落实“老城不能再拆”的要求，做好传统村落、移民搬出区、空心村文物的抢救保护，妥善保护文物周边环境和历史风貌。统筹抢救性保护与预防性保护、本体保护与周边保护、单点保护与集群保护，维护文物资源的历史真实性、风貌完整性、文化延续性。加强市县级文物保护单位和尚未核定公布为文物保护单位的不可移动文物保护管理。实施馆藏珍贵文物保护修复计划。支持创建国家文物保护利用示范区。</w:t>
      </w:r>
      <w:r>
        <w:rPr>
          <w:rFonts w:hint="eastAsia" w:ascii="楷体_GB2312" w:hAnsi="Calibri" w:eastAsia="楷体_GB2312" w:cs="楷体_GB2312"/>
          <w:kern w:val="2"/>
          <w:sz w:val="32"/>
          <w:szCs w:val="32"/>
          <w:lang w:val="en-US" w:eastAsia="zh-CN" w:bidi="ar"/>
        </w:rPr>
        <w:t>（责任单位：自治区文化和旅游厅、住房和城乡建设厅、发展改革委，各市、县〔区〕）</w:t>
      </w:r>
    </w:p>
    <w:p w14:paraId="4E395D2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eastAsia" w:ascii="仿宋_GB2312" w:hAnsi="Calibri" w:eastAsia="仿宋_GB2312" w:cs="仿宋_GB2312"/>
          <w:b/>
          <w:bCs/>
          <w:kern w:val="2"/>
          <w:sz w:val="32"/>
          <w:szCs w:val="32"/>
          <w:lang w:val="en-US" w:eastAsia="zh-CN" w:bidi="ar"/>
        </w:rPr>
        <w:t>2.加强重要文物遗址保护。</w:t>
      </w:r>
      <w:r>
        <w:rPr>
          <w:rFonts w:hint="eastAsia" w:ascii="仿宋_GB2312" w:hAnsi="Calibri" w:eastAsia="仿宋_GB2312" w:cs="仿宋_GB2312"/>
          <w:kern w:val="2"/>
          <w:sz w:val="32"/>
          <w:szCs w:val="32"/>
          <w:lang w:val="en-US" w:eastAsia="zh-CN" w:bidi="ar"/>
        </w:rPr>
        <w:t>推进黄河、长城、长征国家文化公园（宁夏段）建设保护。规划实施长城、石窟寺、岩画、大遗址等重点文物保护单位本体保护修缮、保护性基础设施建设项目。组织开展石窟寺保护关键技术联合攻关，在方法、技术、材料上实现突破。加强与相关国家部委合作，争取建立国家岩画保护研究中心，提升岩画保护区监管和气候变化监测预警能力。支持西夏陵、贺兰山岩画申报世界文化遗产。</w:t>
      </w:r>
      <w:r>
        <w:rPr>
          <w:rFonts w:hint="eastAsia" w:ascii="楷体_GB2312" w:hAnsi="Calibri" w:eastAsia="楷体_GB2312" w:cs="楷体_GB2312"/>
          <w:kern w:val="2"/>
          <w:sz w:val="32"/>
          <w:szCs w:val="32"/>
          <w:lang w:val="en-US" w:eastAsia="zh-CN" w:bidi="ar"/>
        </w:rPr>
        <w:t>（责任单位：自治区党委宣传部、文化和旅游厅、发展改革委、科技厅，各市、县〔区〕）</w:t>
      </w:r>
    </w:p>
    <w:p w14:paraId="332C4196">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eastAsia" w:ascii="仿宋_GB2312" w:hAnsi="Calibri" w:eastAsia="仿宋_GB2312" w:cs="仿宋_GB2312"/>
          <w:b/>
          <w:bCs/>
          <w:kern w:val="2"/>
          <w:sz w:val="32"/>
          <w:szCs w:val="32"/>
          <w:lang w:val="en-US" w:eastAsia="zh-CN" w:bidi="ar"/>
        </w:rPr>
        <w:t>3.加强革命文物保护。</w:t>
      </w:r>
      <w:r>
        <w:rPr>
          <w:rFonts w:hint="eastAsia" w:ascii="仿宋_GB2312" w:hAnsi="Calibri" w:eastAsia="仿宋_GB2312" w:cs="仿宋_GB2312"/>
          <w:kern w:val="2"/>
          <w:sz w:val="32"/>
          <w:szCs w:val="32"/>
          <w:lang w:val="en-US" w:eastAsia="zh-CN" w:bidi="ar"/>
        </w:rPr>
        <w:t>建立革命文物资源数据库，分批公布革命文物名录。加强革命旧址保护修缮和馆藏革命文物保护修复，改善革命文物保护现状。编制革命文物保护利用片区专项规划，推进革命文物整体规划、连片保护、统筹展示、梯次利用。拓展革命文物利用方式，强化教育功能，传承红色基因。</w:t>
      </w:r>
      <w:r>
        <w:rPr>
          <w:rFonts w:hint="eastAsia" w:ascii="楷体_GB2312" w:hAnsi="Calibri" w:eastAsia="楷体_GB2312" w:cs="楷体_GB2312"/>
          <w:kern w:val="2"/>
          <w:sz w:val="32"/>
          <w:szCs w:val="32"/>
          <w:lang w:val="en-US" w:eastAsia="zh-CN" w:bidi="ar"/>
        </w:rPr>
        <w:t>（责任单位：自治区党委宣传部、文化和旅游厅、发展改革委）</w:t>
      </w:r>
    </w:p>
    <w:p w14:paraId="7A3352D7">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（二）加强文物资源管理</w:t>
      </w:r>
    </w:p>
    <w:p w14:paraId="21EC36A3">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CESI仿宋-GB2312" w:hAnsi="CESI仿宋-GB2312" w:eastAsia="CESI仿宋-GB2312" w:cs="CESI仿宋-GB2312"/>
          <w:kern w:val="2"/>
          <w:sz w:val="32"/>
          <w:szCs w:val="32"/>
        </w:rPr>
      </w:pPr>
      <w:r>
        <w:rPr>
          <w:rFonts w:hint="default" w:ascii="Nimbus Roman" w:hAnsi="Nimbus Roman" w:eastAsia="Nimbus Roman" w:cs="Nimbus Roman"/>
          <w:b/>
          <w:bCs/>
          <w:kern w:val="0"/>
          <w:sz w:val="32"/>
          <w:szCs w:val="32"/>
          <w:lang w:val="en-US" w:eastAsia="zh-CN" w:bidi="ar"/>
        </w:rPr>
        <w:t>4.</w:t>
      </w:r>
      <w:r>
        <w:rPr>
          <w:rFonts w:hint="eastAsia" w:ascii="仿宋_GB2312" w:hAnsi="Nimbus Roman" w:eastAsia="仿宋_GB2312" w:cs="仿宋_GB2312"/>
          <w:b/>
          <w:bCs/>
          <w:kern w:val="0"/>
          <w:sz w:val="32"/>
          <w:szCs w:val="32"/>
          <w:lang w:val="en-US" w:eastAsia="zh-CN" w:bidi="ar"/>
        </w:rPr>
        <w:t>夯实文物保护管理基础。</w:t>
      </w:r>
      <w:r>
        <w:rPr>
          <w:rFonts w:hint="eastAsia" w:ascii="仿宋_GB2312" w:hAnsi="Calibri" w:eastAsia="仿宋_GB2312" w:cs="仿宋_GB2312"/>
          <w:kern w:val="2"/>
          <w:sz w:val="32"/>
          <w:szCs w:val="32"/>
          <w:lang w:val="en-US" w:eastAsia="zh-CN" w:bidi="ar"/>
        </w:rPr>
        <w:t>贯彻执行《中华人民共和国文物保护法》等法律法规，健全完善文物领域地方性法规制度体系。开展文物资源普（调）查，建立全区文物资源目录和资源数据库，完善数据共享和动态维护机制，将文物空间信息纳入国土空间信息平台。开展全国重点文物保护单位和自治区文物保护单位申报遴选工作，推进公布市县级文物保护单位，统筹划定各级各类文物保护单位保护范围和建设控制地带，纳入国土空间规划“一张图”管理，并完善文物保护单位规划体系。</w:t>
      </w:r>
      <w:r>
        <w:rPr>
          <w:rFonts w:hint="eastAsia" w:ascii="楷体_GB2312" w:hAnsi="Calibri" w:eastAsia="楷体_GB2312" w:cs="楷体_GB2312"/>
          <w:kern w:val="2"/>
          <w:sz w:val="32"/>
          <w:szCs w:val="32"/>
          <w:lang w:val="en-US" w:eastAsia="zh-CN" w:bidi="ar"/>
        </w:rPr>
        <w:t>（责任单位：自治区文化和旅游厅、司法厅、自然资源厅，各市、县〔区〕）</w:t>
      </w:r>
    </w:p>
    <w:p w14:paraId="4F2C33D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CESI仿宋-GB2312" w:hAnsi="CESI仿宋-GB2312" w:eastAsia="CESI仿宋-GB2312" w:cs="CESI仿宋-GB2312"/>
          <w:kern w:val="2"/>
          <w:sz w:val="32"/>
          <w:szCs w:val="32"/>
        </w:rPr>
      </w:pPr>
      <w:r>
        <w:rPr>
          <w:rFonts w:hint="eastAsia" w:ascii="仿宋_GB2312" w:hAnsi="Calibri" w:eastAsia="仿宋_GB2312" w:cs="仿宋_GB2312"/>
          <w:b/>
          <w:bCs/>
          <w:kern w:val="0"/>
          <w:sz w:val="32"/>
          <w:szCs w:val="32"/>
          <w:lang w:val="en-US" w:eastAsia="zh-CN" w:bidi="ar"/>
        </w:rPr>
        <w:t>5.完善建设工程考古制度。</w:t>
      </w:r>
      <w:r>
        <w:rPr>
          <w:rFonts w:hint="eastAsia" w:ascii="仿宋_GB2312" w:hAnsi="Calibri" w:eastAsia="仿宋_GB2312" w:cs="仿宋_GB2312"/>
          <w:kern w:val="2"/>
          <w:sz w:val="32"/>
          <w:szCs w:val="32"/>
          <w:lang w:val="en-US" w:eastAsia="zh-CN" w:bidi="ar"/>
        </w:rPr>
        <w:t>地上文物实施“先调查、后建设”，建立健全“在旧城区改建、土地成片开发中先行组织文物、历史资源调查”的保护前置机制；地下文物实施“先考古、后出让”，建立健全“进行土地出让或划拨事先进行考古调查、勘探”的保护前置机制。经文物主管部门核定可能存在历史文化遗存的土地，在依法完成考古调查、勘探、发掘前，原则上不予收储入库或出让。全面推进各类园区文物保护区域评估工作”。</w:t>
      </w:r>
      <w:r>
        <w:rPr>
          <w:rFonts w:hint="eastAsia" w:ascii="楷体_GB2312" w:hAnsi="Calibri" w:eastAsia="楷体_GB2312" w:cs="楷体_GB2312"/>
          <w:kern w:val="2"/>
          <w:sz w:val="32"/>
          <w:szCs w:val="32"/>
          <w:lang w:val="en-US" w:eastAsia="zh-CN" w:bidi="ar"/>
        </w:rPr>
        <w:t>（责任单位：自治区文化和旅游厅、发展改革委、自然资源厅，各市、县〔区〕）</w:t>
      </w:r>
    </w:p>
    <w:p w14:paraId="7A793BF0">
      <w:pPr>
        <w:pStyle w:val="16"/>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kern w:val="0"/>
          <w:sz w:val="32"/>
          <w:szCs w:val="32"/>
        </w:rPr>
      </w:pPr>
      <w:r>
        <w:rPr>
          <w:rFonts w:hint="default" w:ascii="Nimbus Roman" w:hAnsi="Nimbus Roman" w:eastAsia="Nimbus Roman" w:cs="Nimbus Roman"/>
          <w:b/>
          <w:bCs/>
          <w:kern w:val="0"/>
          <w:sz w:val="32"/>
          <w:szCs w:val="32"/>
          <w:lang w:val="en-US" w:eastAsia="zh-CN" w:bidi="ar"/>
        </w:rPr>
        <w:t>6.</w:t>
      </w:r>
      <w:r>
        <w:rPr>
          <w:rFonts w:hint="eastAsia" w:ascii="仿宋_GB2312" w:hAnsi="Nimbus Roman" w:eastAsia="仿宋_GB2312" w:cs="仿宋_GB2312"/>
          <w:b/>
          <w:bCs/>
          <w:kern w:val="0"/>
          <w:sz w:val="32"/>
          <w:szCs w:val="32"/>
          <w:lang w:val="en-US" w:eastAsia="zh-CN" w:bidi="ar"/>
        </w:rPr>
        <w:t>健全安全长效机制。</w:t>
      </w:r>
      <w:r>
        <w:rPr>
          <w:rFonts w:hint="eastAsia" w:ascii="仿宋_GB2312" w:hAnsi="Calibri" w:eastAsia="仿宋_GB2312" w:cs="仿宋_GB2312"/>
          <w:kern w:val="0"/>
          <w:sz w:val="32"/>
          <w:szCs w:val="32"/>
          <w:lang w:val="en-US" w:eastAsia="zh-CN" w:bidi="ar"/>
        </w:rPr>
        <w:t>夯实文物安全政府主体责任、相关部门监管责任和管理使用人直接责任，形成安全第一、依法依规、权责清晰、管控有力的安全责任体系。建立健全县、乡镇（街道）、村（居委会）、看护员文物安全网格化管理体系，加强基层文物保护员队伍。落实文物安全直接责任人公告公示制度，推动自治区级以上文物保护单位、国有博物馆（纪念馆）和文物收藏单位建立完善文物安全工作机制。</w:t>
      </w:r>
      <w:r>
        <w:rPr>
          <w:rFonts w:hint="eastAsia" w:ascii="仿宋_GB2312" w:hAnsi="Calibri" w:eastAsia="仿宋_GB2312" w:cs="仿宋_GB2312"/>
          <w:b w:val="0"/>
          <w:bCs w:val="0"/>
          <w:kern w:val="0"/>
          <w:sz w:val="32"/>
          <w:szCs w:val="32"/>
          <w:lang w:val="en-US" w:eastAsia="zh-CN" w:bidi="ar"/>
        </w:rPr>
        <w:t>推进文物平安工程，加强文物“三防”（安防、消防、防雷）建设，</w:t>
      </w:r>
      <w:r>
        <w:rPr>
          <w:rFonts w:hint="eastAsia" w:ascii="仿宋_GB2312" w:hAnsi="Calibri" w:eastAsia="仿宋_GB2312" w:cs="仿宋_GB2312"/>
          <w:kern w:val="0"/>
          <w:sz w:val="32"/>
          <w:szCs w:val="32"/>
          <w:lang w:val="en-US" w:eastAsia="zh-CN" w:bidi="ar"/>
        </w:rPr>
        <w:t>实现重点文物保护单位、博物馆全覆盖。强化市、县级文化市场综合执法队伍文物行政执法责任，完善打击防范文物犯罪联合工作机制，持续开展打击文物犯罪专项行动。</w:t>
      </w:r>
      <w:r>
        <w:rPr>
          <w:rFonts w:hint="eastAsia" w:ascii="楷体_GB2312" w:hAnsi="Calibri" w:eastAsia="楷体_GB2312" w:cs="楷体_GB2312"/>
          <w:kern w:val="0"/>
          <w:sz w:val="32"/>
          <w:szCs w:val="32"/>
          <w:lang w:val="en-US" w:eastAsia="zh-CN" w:bidi="ar"/>
        </w:rPr>
        <w:t>（责任单位：自治区文化和旅游厅、公安厅、市场监管厅、气象局、消防救援总队、银川海关，</w:t>
      </w:r>
      <w:r>
        <w:rPr>
          <w:rFonts w:hint="eastAsia" w:ascii="楷体_GB2312" w:hAnsi="Calibri" w:eastAsia="楷体_GB2312" w:cs="楷体_GB2312"/>
          <w:kern w:val="2"/>
          <w:sz w:val="32"/>
          <w:szCs w:val="32"/>
          <w:lang w:val="en-US" w:eastAsia="zh-CN" w:bidi="ar"/>
        </w:rPr>
        <w:t>各市、县〔区〕</w:t>
      </w:r>
      <w:r>
        <w:rPr>
          <w:rFonts w:hint="eastAsia" w:ascii="楷体_GB2312" w:hAnsi="Calibri" w:eastAsia="楷体_GB2312" w:cs="楷体_GB2312"/>
          <w:kern w:val="0"/>
          <w:sz w:val="32"/>
          <w:szCs w:val="32"/>
          <w:lang w:val="en-US" w:eastAsia="zh-CN" w:bidi="ar"/>
        </w:rPr>
        <w:t>）</w:t>
      </w:r>
    </w:p>
    <w:p w14:paraId="0F6AA488">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b w:val="0"/>
          <w:bCs w:val="0"/>
          <w:i w:val="0"/>
          <w:caps w:val="0"/>
          <w:spacing w:val="0"/>
          <w:kern w:val="0"/>
          <w:sz w:val="32"/>
          <w:szCs w:val="32"/>
          <w:shd w:val="clear" w:fill="FFFFFF"/>
        </w:rPr>
      </w:pPr>
      <w:r>
        <w:rPr>
          <w:rFonts w:hint="default" w:ascii="Nimbus Roman" w:hAnsi="Nimbus Roman" w:eastAsia="Nimbus Roman" w:cs="Nimbus Roman"/>
          <w:b/>
          <w:bCs/>
          <w:kern w:val="0"/>
          <w:sz w:val="32"/>
          <w:szCs w:val="32"/>
          <w:lang w:val="en-US" w:eastAsia="zh-CN" w:bidi="ar"/>
        </w:rPr>
        <w:t>7.</w:t>
      </w:r>
      <w:r>
        <w:rPr>
          <w:rFonts w:hint="eastAsia" w:ascii="仿宋_GB2312" w:hAnsi="Nimbus Roman" w:eastAsia="仿宋_GB2312" w:cs="仿宋_GB2312"/>
          <w:b/>
          <w:bCs/>
          <w:kern w:val="0"/>
          <w:sz w:val="32"/>
          <w:szCs w:val="32"/>
          <w:lang w:val="en-US" w:eastAsia="zh-CN" w:bidi="ar"/>
        </w:rPr>
        <w:t>加强文物安全监管。</w:t>
      </w:r>
      <w:r>
        <w:rPr>
          <w:rFonts w:hint="eastAsia" w:ascii="仿宋_GB2312" w:hAnsi="Calibri" w:eastAsia="仿宋_GB2312" w:cs="仿宋_GB2312"/>
          <w:b w:val="0"/>
          <w:bCs w:val="0"/>
          <w:kern w:val="0"/>
          <w:sz w:val="32"/>
          <w:szCs w:val="32"/>
          <w:lang w:val="en-US" w:eastAsia="zh-CN" w:bidi="ar"/>
        </w:rPr>
        <w:t>压实文物保护属地责任，建立文物安全巡查队伍，每处不可移动文物由属地政府配备专（兼）保护员。落实文物安全巡查制度，</w:t>
      </w:r>
      <w:r>
        <w:rPr>
          <w:rFonts w:hint="eastAsia" w:ascii="仿宋_GB2312" w:hAnsi="Calibri" w:eastAsia="仿宋_GB2312" w:cs="仿宋_GB2312"/>
          <w:kern w:val="2"/>
          <w:sz w:val="32"/>
          <w:szCs w:val="32"/>
          <w:lang w:val="en-US" w:eastAsia="zh-CN" w:bidi="ar"/>
        </w:rPr>
        <w:t>常态化开展文物行业重大事故隐患专项排查整治行动，</w:t>
      </w:r>
      <w:r>
        <w:rPr>
          <w:rFonts w:hint="eastAsia" w:ascii="仿宋_GB2312" w:hAnsi="Calibri" w:eastAsia="仿宋_GB2312" w:cs="仿宋_GB2312"/>
          <w:b w:val="0"/>
          <w:bCs w:val="0"/>
          <w:kern w:val="0"/>
          <w:sz w:val="32"/>
          <w:szCs w:val="32"/>
          <w:lang w:val="en-US" w:eastAsia="zh-CN" w:bidi="ar"/>
        </w:rPr>
        <w:t>加强汛期、节假日等重要时间节点巡查。完善监测手段，建设覆盖各级文物保护单位的全区文物安全监测监管平台，实现世界文化遗产地、自治区级以上文物保护单位、等级博物馆防灾减灾应急预案和物资储备全覆盖。规范藏品征集程序，持续做好涉案文物管理和移交工作。</w:t>
      </w:r>
      <w:r>
        <w:rPr>
          <w:rFonts w:hint="eastAsia" w:ascii="仿宋_GB2312" w:hAnsi="Calibri" w:eastAsia="仿宋_GB2312" w:cs="仿宋_GB2312"/>
          <w:b w:val="0"/>
          <w:bCs w:val="0"/>
          <w:i w:val="0"/>
          <w:caps w:val="0"/>
          <w:spacing w:val="0"/>
          <w:kern w:val="0"/>
          <w:sz w:val="32"/>
          <w:szCs w:val="32"/>
          <w:shd w:val="clear" w:fill="FFFFFF"/>
          <w:lang w:val="en-US" w:eastAsia="zh-CN" w:bidi="ar"/>
        </w:rPr>
        <w:t>加大对文物商店、文物拍卖企业的监管力度。</w:t>
      </w:r>
      <w:r>
        <w:rPr>
          <w:rFonts w:hint="eastAsia" w:ascii="楷体_GB2312" w:hAnsi="Calibri" w:eastAsia="楷体_GB2312" w:cs="楷体_GB2312"/>
          <w:kern w:val="2"/>
          <w:sz w:val="32"/>
          <w:szCs w:val="32"/>
          <w:lang w:val="en-US" w:eastAsia="zh-CN" w:bidi="ar"/>
        </w:rPr>
        <w:t>（责任单位：自治区文化和旅游厅、公安厅、市场监管厅、气象局、消防救援总队、银川海关，各市、县〔区〕）</w:t>
      </w:r>
    </w:p>
    <w:p w14:paraId="552AE5BD">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（三）深入挖掘文物价值</w:t>
      </w:r>
    </w:p>
    <w:p w14:paraId="3958078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default" w:ascii="Nimbus Roman" w:hAnsi="Nimbus Roman" w:eastAsia="Nimbus Roman" w:cs="Nimbus Roman"/>
          <w:b/>
          <w:bCs/>
          <w:kern w:val="0"/>
          <w:sz w:val="32"/>
          <w:szCs w:val="32"/>
          <w:lang w:val="en-US" w:eastAsia="zh-CN" w:bidi="ar"/>
        </w:rPr>
        <w:t>8.</w:t>
      </w:r>
      <w:r>
        <w:rPr>
          <w:rFonts w:hint="eastAsia" w:ascii="仿宋_GB2312" w:hAnsi="Nimbus Roman" w:eastAsia="仿宋_GB2312" w:cs="仿宋_GB2312"/>
          <w:b/>
          <w:bCs/>
          <w:kern w:val="0"/>
          <w:sz w:val="32"/>
          <w:szCs w:val="32"/>
          <w:lang w:val="en-US" w:eastAsia="zh-CN" w:bidi="ar"/>
        </w:rPr>
        <w:t>加强考古研究阐释。</w:t>
      </w:r>
      <w:r>
        <w:rPr>
          <w:rFonts w:hint="eastAsia" w:ascii="仿宋_GB2312" w:hAnsi="Calibri" w:eastAsia="仿宋_GB2312" w:cs="仿宋_GB2312"/>
          <w:b w:val="0"/>
          <w:bCs w:val="0"/>
          <w:i w:val="0"/>
          <w:caps w:val="0"/>
          <w:spacing w:val="0"/>
          <w:kern w:val="2"/>
          <w:sz w:val="32"/>
          <w:szCs w:val="32"/>
          <w:shd w:val="clear" w:fill="FFFFFF"/>
          <w:lang w:val="en-US" w:eastAsia="zh-CN" w:bidi="ar"/>
        </w:rPr>
        <w:t>加快推进自治区文物考古研究所重塑性改革，提升考古发掘、文物保护、科学研究、公共服务等方面能力，建设西北地区具有影响力的考古研究机构。围绕“中华文明起源与早期发展综合研究”“考古中国”等重大课题，系统开展人类起源、文明探源、黄河文化、丝绸之路、西夏考古等专题研究，持续开展关键片区考古调查和重点遗址考古发掘，形成一批突破性、标志性成果。</w:t>
      </w:r>
      <w:r>
        <w:rPr>
          <w:rFonts w:hint="eastAsia" w:ascii="仿宋_GB2312" w:hAnsi="Calibri" w:eastAsia="仿宋_GB2312" w:cs="仿宋_GB2312"/>
          <w:i w:val="0"/>
          <w:caps w:val="0"/>
          <w:spacing w:val="0"/>
          <w:kern w:val="2"/>
          <w:sz w:val="32"/>
          <w:szCs w:val="32"/>
          <w:shd w:val="clear" w:fill="FFFFFF"/>
          <w:lang w:val="en-US" w:eastAsia="zh-CN" w:bidi="ar"/>
        </w:rPr>
        <w:t>科学布局考古基地，</w:t>
      </w:r>
      <w:r>
        <w:rPr>
          <w:rFonts w:hint="eastAsia" w:ascii="仿宋_GB2312" w:hAnsi="Calibri" w:eastAsia="仿宋_GB2312" w:cs="仿宋_GB2312"/>
          <w:kern w:val="2"/>
          <w:sz w:val="32"/>
          <w:szCs w:val="32"/>
          <w:lang w:val="en-US" w:eastAsia="zh-CN" w:bidi="ar"/>
        </w:rPr>
        <w:t>建设国家重点区域考古标准库房。加快建设水洞沟国家考古遗址公园，推进</w:t>
      </w:r>
      <w:r>
        <w:rPr>
          <w:rFonts w:hint="eastAsia" w:ascii="仿宋_GB2312" w:hAnsi="Times New Roman" w:eastAsia="仿宋_GB2312" w:cs="仿宋_GB2312"/>
          <w:kern w:val="2"/>
          <w:sz w:val="32"/>
          <w:szCs w:val="32"/>
          <w:lang w:val="en-US" w:eastAsia="zh-CN" w:bidi="ar"/>
        </w:rPr>
        <w:t>姚河塬遗址、张家场城址国家考古遗址公园立项工作</w:t>
      </w:r>
      <w:r>
        <w:rPr>
          <w:rFonts w:hint="eastAsia" w:ascii="仿宋_GB2312" w:hAnsi="Calibri" w:eastAsia="仿宋_GB2312" w:cs="仿宋_GB2312"/>
          <w:kern w:val="2"/>
          <w:sz w:val="32"/>
          <w:szCs w:val="32"/>
          <w:lang w:val="en-US" w:eastAsia="zh-CN" w:bidi="ar"/>
        </w:rPr>
        <w:t>。</w:t>
      </w:r>
      <w:r>
        <w:rPr>
          <w:rFonts w:hint="eastAsia" w:ascii="楷体_GB2312" w:hAnsi="Calibri" w:eastAsia="楷体_GB2312" w:cs="楷体_GB2312"/>
          <w:kern w:val="2"/>
          <w:sz w:val="32"/>
          <w:szCs w:val="32"/>
          <w:lang w:val="en-US" w:eastAsia="zh-CN" w:bidi="ar"/>
        </w:rPr>
        <w:t>（责任单位：自治区文化和旅游厅、发展改革委、宁夏社会科学院）</w:t>
      </w:r>
    </w:p>
    <w:p w14:paraId="2DAB6C2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default" w:ascii="Nimbus Roman" w:hAnsi="Nimbus Roman" w:eastAsia="Nimbus Roman" w:cs="Nimbus Roman"/>
          <w:b/>
          <w:bCs/>
          <w:kern w:val="0"/>
          <w:sz w:val="32"/>
          <w:szCs w:val="32"/>
          <w:lang w:val="en-US" w:eastAsia="zh-CN" w:bidi="ar"/>
        </w:rPr>
        <w:t>9.</w:t>
      </w:r>
      <w:r>
        <w:rPr>
          <w:rFonts w:hint="eastAsia" w:ascii="仿宋_GB2312" w:hAnsi="Nimbus Roman" w:eastAsia="仿宋_GB2312" w:cs="仿宋_GB2312"/>
          <w:b/>
          <w:bCs/>
          <w:kern w:val="0"/>
          <w:sz w:val="32"/>
          <w:szCs w:val="32"/>
          <w:lang w:val="en-US" w:eastAsia="zh-CN" w:bidi="ar"/>
        </w:rPr>
        <w:t>深化革命文物研究阐释。</w:t>
      </w:r>
      <w:r>
        <w:rPr>
          <w:rFonts w:hint="eastAsia" w:ascii="仿宋_GB2312" w:hAnsi="Calibri" w:eastAsia="仿宋_GB2312" w:cs="仿宋_GB2312"/>
          <w:i w:val="0"/>
          <w:caps w:val="0"/>
          <w:spacing w:val="0"/>
          <w:kern w:val="0"/>
          <w:sz w:val="32"/>
          <w:szCs w:val="32"/>
          <w:shd w:val="clear" w:fill="FFFFFF"/>
          <w:lang w:val="en-US" w:eastAsia="zh-CN" w:bidi="ar"/>
        </w:rPr>
        <w:t>聚合党史部门、博物馆（纪念馆）、高等院校、科研机构等力量，建立健全革命文物协同研究机制，</w:t>
      </w:r>
      <w:r>
        <w:rPr>
          <w:rFonts w:hint="eastAsia" w:ascii="仿宋_GB2312" w:hAnsi="Calibri" w:eastAsia="仿宋_GB2312" w:cs="仿宋_GB2312"/>
          <w:kern w:val="2"/>
          <w:sz w:val="32"/>
          <w:szCs w:val="32"/>
          <w:lang w:val="en-US" w:eastAsia="zh-CN" w:bidi="ar"/>
        </w:rPr>
        <w:t>深化革命文物内涵和保护利用研究。</w:t>
      </w:r>
      <w:r>
        <w:rPr>
          <w:rFonts w:hint="eastAsia" w:ascii="仿宋_GB2312" w:hAnsi="Calibri" w:eastAsia="仿宋_GB2312" w:cs="仿宋_GB2312"/>
          <w:i w:val="0"/>
          <w:caps w:val="0"/>
          <w:spacing w:val="0"/>
          <w:kern w:val="0"/>
          <w:sz w:val="32"/>
          <w:szCs w:val="32"/>
          <w:shd w:val="clear" w:fill="FFFFFF"/>
          <w:lang w:val="en-US" w:eastAsia="zh-CN" w:bidi="ar"/>
        </w:rPr>
        <w:t>有序推进革命文物史料的抢救、征集和研究工作。鼓励革命旧址、博物馆（纪念馆）推出富有特色的思政教育课程，提升讲解人员专业化素养和服务能力。出版革命文物相关专著，</w:t>
      </w:r>
      <w:r>
        <w:rPr>
          <w:rFonts w:hint="eastAsia" w:ascii="仿宋_GB2312" w:hAnsi="Calibri" w:eastAsia="仿宋_GB2312" w:cs="仿宋_GB2312"/>
          <w:kern w:val="2"/>
          <w:sz w:val="32"/>
          <w:szCs w:val="32"/>
          <w:lang w:val="en-US" w:eastAsia="zh-CN" w:bidi="ar"/>
        </w:rPr>
        <w:t>制播革命文物故事微视频、革命旧址短片、革命人物纪录片等系列融媒体传播产品。</w:t>
      </w:r>
      <w:r>
        <w:rPr>
          <w:rFonts w:hint="eastAsia" w:ascii="楷体_GB2312" w:hAnsi="Calibri" w:eastAsia="楷体_GB2312" w:cs="楷体_GB2312"/>
          <w:kern w:val="2"/>
          <w:sz w:val="32"/>
          <w:szCs w:val="32"/>
          <w:lang w:val="en-US" w:eastAsia="zh-CN" w:bidi="ar"/>
        </w:rPr>
        <w:t>（责任单位：自治区党委宣传部、党史研究室、文化和旅游厅、发展改革委、退役军人事务厅）</w:t>
      </w:r>
    </w:p>
    <w:p w14:paraId="5FBC8A14">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b/>
          <w:bCs/>
          <w:kern w:val="2"/>
          <w:sz w:val="32"/>
          <w:szCs w:val="32"/>
        </w:rPr>
      </w:pPr>
      <w:r>
        <w:rPr>
          <w:rFonts w:hint="default" w:ascii="Nimbus Roman" w:hAnsi="Nimbus Roman" w:eastAsia="Nimbus Roman" w:cs="Nimbus Roman"/>
          <w:b/>
          <w:bCs/>
          <w:kern w:val="0"/>
          <w:sz w:val="32"/>
          <w:szCs w:val="32"/>
          <w:lang w:val="en-US" w:eastAsia="zh-CN" w:bidi="ar"/>
        </w:rPr>
        <w:t>10.</w:t>
      </w:r>
      <w:r>
        <w:rPr>
          <w:rFonts w:hint="eastAsia" w:ascii="仿宋_GB2312" w:hAnsi="Nimbus Roman" w:eastAsia="仿宋_GB2312" w:cs="仿宋_GB2312"/>
          <w:b/>
          <w:bCs/>
          <w:kern w:val="0"/>
          <w:sz w:val="32"/>
          <w:szCs w:val="32"/>
          <w:lang w:val="en-US" w:eastAsia="zh-CN" w:bidi="ar"/>
        </w:rPr>
        <w:t>强化文物资源系统研究。</w:t>
      </w:r>
      <w:r>
        <w:rPr>
          <w:rFonts w:hint="eastAsia" w:ascii="仿宋_GB2312" w:hAnsi="Calibri" w:eastAsia="仿宋_GB2312" w:cs="仿宋_GB2312"/>
          <w:kern w:val="2"/>
          <w:sz w:val="32"/>
          <w:szCs w:val="32"/>
          <w:lang w:val="en-US" w:eastAsia="zh-CN" w:bidi="ar"/>
        </w:rPr>
        <w:t>梳理全区黄河、长城、长征、石窟寺、岩画等具有文化传统、当代价值、世界意义的文物资源，系统挖掘文物蕴含的哲学思想、人文精神、价值理念和道德规范</w:t>
      </w:r>
      <w:r>
        <w:rPr>
          <w:rFonts w:hint="eastAsia" w:ascii="仿宋_GB2312" w:hAnsi="Calibri" w:eastAsia="仿宋_GB2312" w:cs="仿宋_GB2312"/>
          <w:i w:val="0"/>
          <w:caps w:val="0"/>
          <w:spacing w:val="0"/>
          <w:kern w:val="2"/>
          <w:sz w:val="32"/>
          <w:szCs w:val="32"/>
          <w:shd w:val="clear" w:fill="FFFFFF"/>
          <w:lang w:val="en-US" w:eastAsia="zh-CN" w:bidi="ar"/>
        </w:rPr>
        <w:t>，提高文物系统性研究阐释水平，丰富区域文化内涵，全面提升宁夏文化软实力</w:t>
      </w:r>
      <w:r>
        <w:rPr>
          <w:rFonts w:hint="eastAsia" w:ascii="仿宋_GB2312" w:hAnsi="Calibri" w:eastAsia="仿宋_GB2312" w:cs="仿宋_GB2312"/>
          <w:kern w:val="2"/>
          <w:sz w:val="32"/>
          <w:szCs w:val="32"/>
          <w:lang w:val="en-US" w:eastAsia="zh-CN" w:bidi="ar"/>
        </w:rPr>
        <w:t>。积极参与中外文明比较研究，在展示中华文明的灿烂成就和中华文化的世界意义中贡献宁夏力量。</w:t>
      </w:r>
      <w:r>
        <w:rPr>
          <w:rFonts w:hint="eastAsia" w:ascii="仿宋_GB2312" w:hAnsi="Calibri" w:eastAsia="仿宋_GB2312" w:cs="仿宋_GB2312"/>
          <w:i w:val="0"/>
          <w:caps w:val="0"/>
          <w:spacing w:val="0"/>
          <w:kern w:val="2"/>
          <w:sz w:val="32"/>
          <w:szCs w:val="32"/>
          <w:shd w:val="clear" w:fill="FFFFFF"/>
          <w:lang w:val="en-US" w:eastAsia="zh-CN" w:bidi="ar"/>
        </w:rPr>
        <w:t>遴选公布一批具有地方特色的文化地标和物化标识名录，逐步形成区、市、县不同层级的中华文化物化标识体系。</w:t>
      </w:r>
      <w:r>
        <w:rPr>
          <w:rFonts w:hint="eastAsia" w:ascii="楷体_GB2312" w:hAnsi="Calibri" w:eastAsia="楷体_GB2312" w:cs="楷体_GB2312"/>
          <w:kern w:val="2"/>
          <w:sz w:val="32"/>
          <w:szCs w:val="32"/>
          <w:lang w:val="en-US" w:eastAsia="zh-CN" w:bidi="ar"/>
        </w:rPr>
        <w:t>（责任单位：自治区党委宣传部、党史研究室、文化和旅游厅、宁夏社会科学院）</w:t>
      </w:r>
    </w:p>
    <w:p w14:paraId="142957F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（四）全面推进文物活化利用</w:t>
      </w:r>
    </w:p>
    <w:p w14:paraId="257E0FA6">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b w:val="0"/>
          <w:bCs w:val="0"/>
          <w:kern w:val="0"/>
          <w:sz w:val="32"/>
          <w:szCs w:val="32"/>
        </w:rPr>
      </w:pPr>
      <w:r>
        <w:rPr>
          <w:rFonts w:hint="default" w:ascii="Nimbus Roman" w:hAnsi="Nimbus Roman" w:eastAsia="Nimbus Roman" w:cs="Nimbus Roman"/>
          <w:b/>
          <w:bCs/>
          <w:kern w:val="0"/>
          <w:sz w:val="32"/>
          <w:szCs w:val="32"/>
          <w:lang w:val="en-US" w:eastAsia="zh-CN" w:bidi="ar"/>
        </w:rPr>
        <w:t>11.</w:t>
      </w:r>
      <w:r>
        <w:rPr>
          <w:rFonts w:hint="eastAsia" w:ascii="仿宋_GB2312" w:hAnsi="Nimbus Roman" w:eastAsia="仿宋_GB2312" w:cs="仿宋_GB2312"/>
          <w:b/>
          <w:bCs/>
          <w:kern w:val="0"/>
          <w:sz w:val="32"/>
          <w:szCs w:val="32"/>
          <w:lang w:val="en-US" w:eastAsia="zh-CN" w:bidi="ar"/>
        </w:rPr>
        <w:t>激发博物馆创新发展活力。</w:t>
      </w:r>
      <w:r>
        <w:rPr>
          <w:rFonts w:hint="eastAsia" w:ascii="仿宋_GB2312" w:hAnsi="Calibri" w:eastAsia="仿宋_GB2312" w:cs="仿宋_GB2312"/>
          <w:b w:val="0"/>
          <w:bCs w:val="0"/>
          <w:kern w:val="0"/>
          <w:sz w:val="32"/>
          <w:szCs w:val="32"/>
          <w:lang w:val="en-US" w:eastAsia="zh-CN" w:bidi="ar"/>
        </w:rPr>
        <w:t>构建以自治区级博物馆为龙头，地市级博物馆为骨干，县级博物馆为支撑，行业和非国有博物馆为补充的博物馆体系，打造全区博物馆联盟。</w:t>
      </w:r>
      <w:r>
        <w:rPr>
          <w:rFonts w:hint="eastAsia" w:ascii="仿宋_GB2312" w:hAnsi="Calibri" w:eastAsia="仿宋_GB2312" w:cs="仿宋_GB2312"/>
          <w:i w:val="0"/>
          <w:caps w:val="0"/>
          <w:spacing w:val="0"/>
          <w:kern w:val="2"/>
          <w:sz w:val="32"/>
          <w:szCs w:val="32"/>
          <w:shd w:val="clear" w:fill="FFFFFF"/>
          <w:lang w:val="en-US" w:eastAsia="zh-CN" w:bidi="ar"/>
        </w:rPr>
        <w:t>推动博物馆智慧化建设，实施“博物馆+”战略。支持宁夏固原博物馆改造提升，</w:t>
      </w:r>
      <w:r>
        <w:rPr>
          <w:rFonts w:hint="eastAsia" w:ascii="仿宋_GB2312" w:hAnsi="Calibri" w:eastAsia="仿宋_GB2312" w:cs="仿宋_GB2312"/>
          <w:b w:val="0"/>
          <w:bCs w:val="0"/>
          <w:kern w:val="0"/>
          <w:sz w:val="32"/>
          <w:szCs w:val="32"/>
          <w:lang w:val="en-US" w:eastAsia="zh-CN" w:bidi="ar"/>
        </w:rPr>
        <w:t>推动宁夏博物馆、宁夏固原博物馆进入国家卓越博物馆发展计划。支持市县级博物馆特色化发展和非国有博物馆健康发展。加强藏品保护研究和价值挖掘阐释，鼓励推出原创性主题展览，发展沉浸式体验、虚拟展厅、高清直播等新型文旅服务。</w:t>
      </w:r>
      <w:r>
        <w:rPr>
          <w:rFonts w:hint="eastAsia" w:ascii="仿宋_GB2312" w:hAnsi="Calibri" w:eastAsia="仿宋_GB2312" w:cs="仿宋_GB2312"/>
          <w:i w:val="0"/>
          <w:caps w:val="0"/>
          <w:spacing w:val="0"/>
          <w:kern w:val="2"/>
          <w:sz w:val="32"/>
          <w:szCs w:val="32"/>
          <w:shd w:val="clear" w:fill="FFFFFF"/>
          <w:lang w:val="en-US" w:eastAsia="zh-CN" w:bidi="ar"/>
        </w:rPr>
        <w:t>推进宁夏文博品牌图书和文物知识图谱编纂。</w:t>
      </w:r>
      <w:r>
        <w:rPr>
          <w:rFonts w:hint="eastAsia" w:ascii="仿宋_GB2312" w:hAnsi="Calibri" w:eastAsia="仿宋_GB2312" w:cs="仿宋_GB2312"/>
          <w:b w:val="0"/>
          <w:bCs w:val="0"/>
          <w:kern w:val="0"/>
          <w:sz w:val="32"/>
          <w:szCs w:val="32"/>
          <w:lang w:val="en-US" w:eastAsia="zh-CN" w:bidi="ar"/>
        </w:rPr>
        <w:t>鼓励博物馆开展“六进”活动，支持教育部门和学校利用博物馆资源开展教育教学活动。</w:t>
      </w:r>
      <w:r>
        <w:rPr>
          <w:rFonts w:hint="eastAsia" w:ascii="楷体_GB2312" w:hAnsi="Calibri" w:eastAsia="楷体_GB2312" w:cs="楷体_GB2312"/>
          <w:kern w:val="2"/>
          <w:sz w:val="32"/>
          <w:szCs w:val="32"/>
          <w:lang w:val="en-US" w:eastAsia="zh-CN" w:bidi="ar"/>
        </w:rPr>
        <w:t>（责任单位：自治区文化和旅游厅、发展改革委、工信厅、教育厅，各市、县〔区〕）</w:t>
      </w:r>
    </w:p>
    <w:p w14:paraId="7ABF3C3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Nimbus Roman" w:hAnsi="Nimbus Roman" w:eastAsia="仿宋_GB2312" w:cs="Nimbus Roman"/>
          <w:b/>
          <w:bCs/>
          <w:kern w:val="0"/>
          <w:sz w:val="32"/>
          <w:szCs w:val="32"/>
        </w:rPr>
      </w:pPr>
      <w:r>
        <w:rPr>
          <w:rFonts w:hint="default" w:ascii="Nimbus Roman" w:hAnsi="Nimbus Roman" w:eastAsia="Nimbus Roman" w:cs="Nimbus Roman"/>
          <w:b/>
          <w:bCs/>
          <w:kern w:val="0"/>
          <w:sz w:val="32"/>
          <w:szCs w:val="32"/>
          <w:lang w:val="en-US" w:eastAsia="zh-CN" w:bidi="ar"/>
        </w:rPr>
        <w:t>12.</w:t>
      </w:r>
      <w:r>
        <w:rPr>
          <w:rFonts w:hint="eastAsia" w:ascii="仿宋_GB2312" w:hAnsi="Nimbus Roman" w:eastAsia="仿宋_GB2312" w:cs="仿宋_GB2312"/>
          <w:b/>
          <w:bCs/>
          <w:kern w:val="0"/>
          <w:sz w:val="32"/>
          <w:szCs w:val="32"/>
          <w:lang w:val="en-US" w:eastAsia="zh-CN" w:bidi="ar"/>
        </w:rPr>
        <w:t>创新活化利用方式。</w:t>
      </w:r>
      <w:r>
        <w:rPr>
          <w:rFonts w:hint="eastAsia" w:ascii="仿宋_GB2312" w:hAnsi="Calibri" w:eastAsia="仿宋_GB2312" w:cs="仿宋_GB2312"/>
          <w:i w:val="0"/>
          <w:caps w:val="0"/>
          <w:spacing w:val="0"/>
          <w:kern w:val="2"/>
          <w:sz w:val="32"/>
          <w:szCs w:val="32"/>
          <w:shd w:val="clear" w:fill="FFFFFF"/>
          <w:lang w:val="en-US" w:eastAsia="zh-CN" w:bidi="ar"/>
        </w:rPr>
        <w:t>开展黄河、长城、长征文化遗产系统性保护利用工程，与乡村振兴、全域旅游相结合，形成保护利用的集聚效应。</w:t>
      </w:r>
      <w:r>
        <w:rPr>
          <w:rFonts w:hint="eastAsia" w:ascii="仿宋_GB2312" w:hAnsi="仿宋" w:eastAsia="仿宋_GB2312" w:cs="仿宋_GB2312"/>
          <w:kern w:val="0"/>
          <w:sz w:val="32"/>
          <w:szCs w:val="32"/>
          <w:lang w:val="en-US" w:eastAsia="zh-CN" w:bidi="ar"/>
        </w:rPr>
        <w:t>主动融入“一带一路”建设，策划以黄河文化、长城文化、红色文化、丝路文化为特色的精品展览，</w:t>
      </w:r>
      <w:r>
        <w:rPr>
          <w:rFonts w:hint="eastAsia" w:ascii="仿宋_GB2312" w:hAnsi="Calibri" w:eastAsia="仿宋_GB2312" w:cs="仿宋_GB2312"/>
          <w:i w:val="0"/>
          <w:caps w:val="0"/>
          <w:spacing w:val="0"/>
          <w:kern w:val="2"/>
          <w:sz w:val="32"/>
          <w:szCs w:val="32"/>
          <w:shd w:val="clear" w:fill="FFFFFF"/>
          <w:lang w:val="en-US" w:eastAsia="zh-CN" w:bidi="ar"/>
        </w:rPr>
        <w:t>培育文博网红打卡地，提升宁夏文物故事传播能力</w:t>
      </w:r>
      <w:r>
        <w:rPr>
          <w:rFonts w:hint="eastAsia" w:ascii="仿宋_GB2312" w:hAnsi="仿宋" w:eastAsia="仿宋_GB2312" w:cs="仿宋_GB2312"/>
          <w:kern w:val="0"/>
          <w:sz w:val="32"/>
          <w:szCs w:val="32"/>
          <w:lang w:val="en-US" w:eastAsia="zh-CN" w:bidi="ar"/>
        </w:rPr>
        <w:t>。</w:t>
      </w:r>
      <w:r>
        <w:rPr>
          <w:rFonts w:hint="eastAsia" w:ascii="仿宋_GB2312" w:hAnsi="Calibri" w:eastAsia="仿宋_GB2312" w:cs="仿宋_GB2312"/>
          <w:i w:val="0"/>
          <w:caps w:val="0"/>
          <w:spacing w:val="0"/>
          <w:kern w:val="2"/>
          <w:sz w:val="32"/>
          <w:szCs w:val="32"/>
          <w:shd w:val="clear" w:fill="FFFFFF"/>
          <w:lang w:val="en-US" w:eastAsia="zh-CN" w:bidi="ar"/>
        </w:rPr>
        <w:t>充分融合传统媒体和新媒体优势，构建“报、网、台、端、微”全媒体矩阵，</w:t>
      </w:r>
      <w:r>
        <w:rPr>
          <w:rFonts w:hint="eastAsia" w:ascii="仿宋_GB2312" w:hAnsi="仿宋" w:eastAsia="仿宋_GB2312" w:cs="仿宋_GB2312"/>
          <w:kern w:val="0"/>
          <w:sz w:val="32"/>
          <w:szCs w:val="32"/>
          <w:lang w:val="en-US" w:eastAsia="zh-CN" w:bidi="ar"/>
        </w:rPr>
        <w:t>讲好中国故事的宁夏篇章</w:t>
      </w:r>
      <w:r>
        <w:rPr>
          <w:rFonts w:hint="eastAsia" w:ascii="仿宋_GB2312" w:hAnsi="Calibri" w:eastAsia="仿宋_GB2312" w:cs="仿宋_GB2312"/>
          <w:i w:val="0"/>
          <w:caps w:val="0"/>
          <w:spacing w:val="0"/>
          <w:kern w:val="2"/>
          <w:sz w:val="32"/>
          <w:szCs w:val="32"/>
          <w:shd w:val="clear" w:fill="FFFFFF"/>
          <w:lang w:val="en-US" w:eastAsia="zh-CN" w:bidi="ar"/>
        </w:rPr>
        <w:t>。</w:t>
      </w:r>
      <w:r>
        <w:rPr>
          <w:rFonts w:hint="eastAsia" w:ascii="仿宋_GB2312" w:hAnsi="Calibri" w:eastAsia="仿宋_GB2312" w:cs="仿宋_GB2312"/>
          <w:b w:val="0"/>
          <w:bCs w:val="0"/>
          <w:i w:val="0"/>
          <w:caps w:val="0"/>
          <w:spacing w:val="0"/>
          <w:kern w:val="0"/>
          <w:sz w:val="32"/>
          <w:szCs w:val="32"/>
          <w:shd w:val="clear" w:fill="FFFFFF"/>
          <w:lang w:val="en-US" w:eastAsia="zh-CN" w:bidi="ar"/>
        </w:rPr>
        <w:t>探索文博单位、高校、企业资源互通共享</w:t>
      </w:r>
      <w:r>
        <w:rPr>
          <w:rFonts w:hint="eastAsia" w:ascii="仿宋_GB2312" w:hAnsi="仿宋" w:eastAsia="仿宋_GB2312" w:cs="仿宋_GB2312"/>
          <w:kern w:val="0"/>
          <w:sz w:val="32"/>
          <w:szCs w:val="32"/>
          <w:lang w:val="en-US" w:eastAsia="zh-CN" w:bidi="ar"/>
        </w:rPr>
        <w:t>发展模式，推动文博创意产业发展，打造特色文化创意品牌，丰富“宁夏好礼”。</w:t>
      </w:r>
      <w:r>
        <w:rPr>
          <w:rFonts w:hint="eastAsia" w:ascii="楷体_GB2312" w:hAnsi="Calibri" w:eastAsia="楷体_GB2312" w:cs="楷体_GB2312"/>
          <w:kern w:val="2"/>
          <w:sz w:val="32"/>
          <w:szCs w:val="32"/>
          <w:lang w:val="en-US" w:eastAsia="zh-CN" w:bidi="ar"/>
        </w:rPr>
        <w:t>（责任单位：自治区党委宣传部、文化和旅游厅、农业农村厅、教育厅、广播电视局、宁夏日报社）</w:t>
      </w:r>
    </w:p>
    <w:p w14:paraId="43A66FC8">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kern w:val="2"/>
          <w:sz w:val="32"/>
          <w:szCs w:val="32"/>
        </w:rPr>
      </w:pPr>
      <w:r>
        <w:rPr>
          <w:rFonts w:hint="default" w:ascii="Nimbus Roman" w:hAnsi="Nimbus Roman" w:eastAsia="Nimbus Roman" w:cs="Nimbus Roman"/>
          <w:b/>
          <w:bCs/>
          <w:kern w:val="0"/>
          <w:sz w:val="32"/>
          <w:szCs w:val="32"/>
          <w:lang w:val="en-US" w:eastAsia="zh-CN" w:bidi="ar"/>
        </w:rPr>
        <w:t>13.</w:t>
      </w:r>
      <w:r>
        <w:rPr>
          <w:rFonts w:hint="eastAsia" w:ascii="仿宋_GB2312" w:hAnsi="Nimbus Roman" w:eastAsia="仿宋_GB2312" w:cs="仿宋_GB2312"/>
          <w:b/>
          <w:bCs/>
          <w:kern w:val="0"/>
          <w:sz w:val="32"/>
          <w:szCs w:val="32"/>
          <w:lang w:val="en-US" w:eastAsia="zh-CN" w:bidi="ar"/>
        </w:rPr>
        <w:t>加强文物交流合作。</w:t>
      </w:r>
      <w:r>
        <w:rPr>
          <w:rFonts w:hint="eastAsia" w:ascii="仿宋_GB2312" w:hAnsi="Calibri" w:eastAsia="仿宋_GB2312" w:cs="仿宋_GB2312"/>
          <w:b w:val="0"/>
          <w:bCs w:val="0"/>
          <w:kern w:val="2"/>
          <w:sz w:val="32"/>
          <w:szCs w:val="32"/>
          <w:lang w:val="en-US" w:eastAsia="zh-CN" w:bidi="ar"/>
        </w:rPr>
        <w:t>利用</w:t>
      </w:r>
      <w:r>
        <w:rPr>
          <w:rFonts w:hint="eastAsia" w:ascii="仿宋_GB2312" w:hAnsi="Calibri" w:eastAsia="仿宋_GB2312" w:cs="仿宋_GB2312"/>
          <w:kern w:val="2"/>
          <w:sz w:val="32"/>
          <w:szCs w:val="32"/>
          <w:lang w:val="en-US" w:eastAsia="zh-CN" w:bidi="ar"/>
        </w:rPr>
        <w:t>“一带一路”、中阿博览会</w:t>
      </w:r>
      <w:r>
        <w:rPr>
          <w:rFonts w:hint="eastAsia" w:ascii="仿宋_GB2312" w:hAnsi="Calibri" w:eastAsia="仿宋_GB2312" w:cs="仿宋_GB2312"/>
          <w:b w:val="0"/>
          <w:bCs w:val="0"/>
          <w:kern w:val="2"/>
          <w:sz w:val="32"/>
          <w:szCs w:val="32"/>
          <w:lang w:val="en-US" w:eastAsia="zh-CN" w:bidi="ar"/>
        </w:rPr>
        <w:t>、“黄河流域博物馆联盟”等交流合作平台，</w:t>
      </w:r>
      <w:r>
        <w:rPr>
          <w:rFonts w:hint="eastAsia" w:ascii="仿宋_GB2312" w:hAnsi="Calibri" w:eastAsia="仿宋_GB2312" w:cs="仿宋_GB2312"/>
          <w:kern w:val="0"/>
          <w:sz w:val="32"/>
          <w:szCs w:val="32"/>
          <w:lang w:val="en-US" w:eastAsia="zh-CN" w:bidi="ar"/>
        </w:rPr>
        <w:t>在陈列展览、</w:t>
      </w:r>
      <w:r>
        <w:rPr>
          <w:rFonts w:hint="eastAsia" w:ascii="仿宋_GB2312" w:hAnsi="仿宋" w:eastAsia="仿宋_GB2312" w:cs="仿宋_GB2312"/>
          <w:kern w:val="0"/>
          <w:sz w:val="32"/>
          <w:szCs w:val="32"/>
          <w:lang w:val="en-US" w:eastAsia="zh-CN" w:bidi="ar"/>
        </w:rPr>
        <w:t>考古研究、遗产保护等方面</w:t>
      </w:r>
      <w:r>
        <w:rPr>
          <w:rFonts w:hint="eastAsia" w:ascii="仿宋_GB2312" w:hAnsi="宋体" w:eastAsia="仿宋_GB2312" w:cs="仿宋_GB2312"/>
          <w:kern w:val="0"/>
          <w:sz w:val="32"/>
          <w:szCs w:val="32"/>
          <w:lang w:val="en-US" w:eastAsia="zh-CN" w:bidi="ar"/>
        </w:rPr>
        <w:t>，</w:t>
      </w:r>
      <w:r>
        <w:rPr>
          <w:rFonts w:hint="eastAsia" w:ascii="仿宋_GB2312" w:hAnsi="Calibri" w:eastAsia="仿宋_GB2312" w:cs="仿宋_GB2312"/>
          <w:kern w:val="0"/>
          <w:sz w:val="32"/>
          <w:szCs w:val="32"/>
          <w:lang w:val="en-US" w:eastAsia="zh-CN" w:bidi="ar"/>
        </w:rPr>
        <w:t>加强文物领域合作与对外交流。</w:t>
      </w:r>
      <w:r>
        <w:rPr>
          <w:rFonts w:hint="eastAsia" w:ascii="仿宋_GB2312" w:hAnsi="Calibri" w:eastAsia="仿宋_GB2312" w:cs="仿宋_GB2312"/>
          <w:kern w:val="2"/>
          <w:sz w:val="32"/>
          <w:szCs w:val="32"/>
          <w:lang w:val="en-US" w:eastAsia="zh-CN" w:bidi="ar"/>
        </w:rPr>
        <w:t>借助中央媒体和海外中国文化中心等驻外机构，提升宁夏文物的全媒体传播能力和国际影响力。</w:t>
      </w:r>
      <w:r>
        <w:rPr>
          <w:rFonts w:hint="eastAsia" w:ascii="仿宋_GB2312" w:hAnsi="宋体" w:eastAsia="仿宋_GB2312" w:cs="仿宋_GB2312"/>
          <w:kern w:val="0"/>
          <w:sz w:val="32"/>
          <w:szCs w:val="32"/>
          <w:lang w:val="en-US" w:eastAsia="zh-CN" w:bidi="ar"/>
        </w:rPr>
        <w:t>引进一批高水平文物展览，策划推出一批宁夏文物精品展览区外展出，</w:t>
      </w:r>
      <w:r>
        <w:rPr>
          <w:rFonts w:hint="eastAsia" w:ascii="仿宋_GB2312" w:hAnsi="Calibri" w:eastAsia="仿宋_GB2312" w:cs="仿宋_GB2312"/>
          <w:kern w:val="0"/>
          <w:sz w:val="32"/>
          <w:szCs w:val="32"/>
          <w:lang w:val="en-US" w:eastAsia="zh-CN" w:bidi="ar"/>
        </w:rPr>
        <w:t>讲好宁夏故事，传播宁夏声音</w:t>
      </w:r>
      <w:r>
        <w:rPr>
          <w:rFonts w:hint="eastAsia" w:ascii="仿宋_GB2312" w:hAnsi="仿宋" w:eastAsia="仿宋_GB2312" w:cs="仿宋_GB2312"/>
          <w:kern w:val="0"/>
          <w:sz w:val="32"/>
          <w:szCs w:val="32"/>
          <w:lang w:val="en-US" w:eastAsia="zh-CN" w:bidi="ar"/>
        </w:rPr>
        <w:t>。</w:t>
      </w:r>
      <w:r>
        <w:rPr>
          <w:rFonts w:hint="eastAsia" w:ascii="楷体_GB2312" w:hAnsi="Calibri" w:eastAsia="楷体_GB2312" w:cs="楷体_GB2312"/>
          <w:kern w:val="2"/>
          <w:sz w:val="32"/>
          <w:szCs w:val="32"/>
          <w:lang w:val="en-US" w:eastAsia="zh-CN" w:bidi="ar"/>
        </w:rPr>
        <w:t>（责任单位：自治区党委宣传部、外事办、文化和旅游厅）</w:t>
      </w:r>
    </w:p>
    <w:p w14:paraId="3B290822">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b w:val="0"/>
          <w:bCs w:val="0"/>
          <w:kern w:val="2"/>
          <w:sz w:val="32"/>
          <w:szCs w:val="32"/>
        </w:rPr>
      </w:pPr>
      <w:r>
        <w:rPr>
          <w:rFonts w:hint="default" w:ascii="Nimbus Roman" w:hAnsi="Nimbus Roman" w:eastAsia="Nimbus Roman" w:cs="Nimbus Roman"/>
          <w:b/>
          <w:bCs/>
          <w:kern w:val="0"/>
          <w:sz w:val="32"/>
          <w:szCs w:val="32"/>
          <w:lang w:val="en-US" w:eastAsia="zh-CN" w:bidi="ar"/>
        </w:rPr>
        <w:t>14.</w:t>
      </w:r>
      <w:r>
        <w:rPr>
          <w:rFonts w:hint="eastAsia" w:ascii="仿宋_GB2312" w:hAnsi="Nimbus Roman" w:eastAsia="仿宋_GB2312" w:cs="仿宋_GB2312"/>
          <w:b/>
          <w:bCs/>
          <w:kern w:val="0"/>
          <w:sz w:val="32"/>
          <w:szCs w:val="32"/>
          <w:lang w:val="en-US" w:eastAsia="zh-CN" w:bidi="ar"/>
        </w:rPr>
        <w:t>推动文物旅游融合发展。</w:t>
      </w:r>
      <w:r>
        <w:rPr>
          <w:rFonts w:hint="eastAsia" w:ascii="仿宋_GB2312" w:hAnsi="仿宋" w:eastAsia="仿宋_GB2312" w:cs="仿宋_GB2312"/>
          <w:b w:val="0"/>
          <w:bCs w:val="0"/>
          <w:kern w:val="0"/>
          <w:sz w:val="32"/>
          <w:szCs w:val="32"/>
          <w:lang w:val="en-US" w:eastAsia="zh-CN" w:bidi="ar"/>
        </w:rPr>
        <w:t>深化全区文物博物馆单位开放利用，积极推进有条件的文物博物馆单位申报A级景区，在科学测算、观众（游客）承载力允许并确保安全的条件下，加大对外开放力度。结合黄河、长城、长征国家文化公园建设，推进文物与旅游产业、文化创意产业、教育科研等深度融合，培育以博物馆、考古遗址公园、考古发掘现场和文物保护单位为支撑的体验旅游、研学实践和传统村落休闲旅游线路。推动文物主题游径建设，</w:t>
      </w:r>
      <w:r>
        <w:rPr>
          <w:rFonts w:hint="eastAsia" w:ascii="仿宋_GB2312" w:hAnsi="Calibri" w:eastAsia="仿宋_GB2312" w:cs="仿宋_GB2312"/>
          <w:b w:val="0"/>
          <w:bCs w:val="0"/>
          <w:kern w:val="2"/>
          <w:sz w:val="32"/>
          <w:szCs w:val="32"/>
          <w:lang w:val="en-US" w:eastAsia="zh-CN" w:bidi="ar"/>
        </w:rPr>
        <w:t>发布宁夏文物主题游径名录。</w:t>
      </w:r>
      <w:r>
        <w:rPr>
          <w:rFonts w:hint="eastAsia" w:ascii="楷体_GB2312" w:hAnsi="Calibri" w:eastAsia="楷体_GB2312" w:cs="楷体_GB2312"/>
          <w:kern w:val="2"/>
          <w:sz w:val="32"/>
          <w:szCs w:val="32"/>
          <w:lang w:val="en-US" w:eastAsia="zh-CN" w:bidi="ar"/>
        </w:rPr>
        <w:t>（责任单位：自治区党委宣传部、文化和旅游厅、发展改革委、农业农村厅</w:t>
      </w:r>
      <w:r>
        <w:rPr>
          <w:rFonts w:hint="eastAsia" w:ascii="楷体_GB2312" w:hAnsi="Calibri" w:eastAsia="楷体_GB2312" w:cs="楷体_GB2312"/>
          <w:kern w:val="2"/>
          <w:sz w:val="32"/>
          <w:szCs w:val="32"/>
          <w:lang w:val="en-US" w:eastAsia="zh-CN" w:bidi="ar"/>
        </w:rPr>
        <w:t>、教育厅、自然资源厅，各市、县〔区〕）</w:t>
      </w:r>
    </w:p>
    <w:p w14:paraId="1F40376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楷体_GB2312" w:hAnsi="Calibri" w:eastAsia="楷体_GB2312" w:cs="楷体_GB2312"/>
          <w:b/>
          <w:bCs/>
          <w:kern w:val="2"/>
          <w:sz w:val="32"/>
          <w:szCs w:val="32"/>
        </w:rPr>
      </w:pPr>
      <w:r>
        <w:rPr>
          <w:rFonts w:hint="eastAsia" w:ascii="楷体_GB2312" w:hAnsi="Calibri" w:eastAsia="楷体_GB2312" w:cs="楷体_GB2312"/>
          <w:b/>
          <w:bCs/>
          <w:kern w:val="2"/>
          <w:sz w:val="32"/>
          <w:szCs w:val="32"/>
          <w:lang w:val="en-US" w:eastAsia="zh-CN" w:bidi="ar"/>
        </w:rPr>
        <w:t>（五）激活科技赋能引擎</w:t>
      </w:r>
      <w:bookmarkStart w:id="0" w:name="_GoBack"/>
      <w:bookmarkEnd w:id="0"/>
    </w:p>
    <w:p w14:paraId="7FFD21E4">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b w:val="0"/>
          <w:bCs w:val="0"/>
          <w:kern w:val="2"/>
          <w:sz w:val="32"/>
          <w:szCs w:val="32"/>
        </w:rPr>
      </w:pPr>
      <w:r>
        <w:rPr>
          <w:rFonts w:hint="default" w:ascii="Nimbus Roman" w:hAnsi="Nimbus Roman" w:eastAsia="Nimbus Roman" w:cs="Nimbus Roman"/>
          <w:b/>
          <w:bCs/>
          <w:kern w:val="0"/>
          <w:sz w:val="32"/>
          <w:szCs w:val="32"/>
          <w:lang w:val="en-US" w:eastAsia="zh-CN" w:bidi="ar"/>
        </w:rPr>
        <w:t>15.</w:t>
      </w:r>
      <w:r>
        <w:rPr>
          <w:rFonts w:hint="eastAsia" w:ascii="仿宋_GB2312" w:hAnsi="Nimbus Roman" w:eastAsia="仿宋_GB2312" w:cs="仿宋_GB2312"/>
          <w:b/>
          <w:bCs/>
          <w:kern w:val="0"/>
          <w:sz w:val="32"/>
          <w:szCs w:val="32"/>
          <w:lang w:val="en-US" w:eastAsia="zh-CN" w:bidi="ar"/>
        </w:rPr>
        <w:t>加强文物科技创新研究。</w:t>
      </w:r>
      <w:r>
        <w:rPr>
          <w:rFonts w:hint="eastAsia" w:ascii="仿宋_GB2312" w:hAnsi="Calibri" w:eastAsia="仿宋_GB2312" w:cs="仿宋_GB2312"/>
          <w:b w:val="0"/>
          <w:bCs w:val="0"/>
          <w:kern w:val="2"/>
          <w:sz w:val="32"/>
          <w:szCs w:val="32"/>
          <w:lang w:val="en-US" w:eastAsia="zh-CN" w:bidi="ar"/>
        </w:rPr>
        <w:t>持续深化与中国科学院、北京大学等高校、科研院所合作，鼓励建立联合实验、科研工作站和技术创新联席机制，加强馆藏文物修复保护关键技术研究。提升文物修复实验室建设水平，开展馆藏壁画、瓷器、青铜器等修复工艺技术优化提升研究。加强文物预防性保护相关技术研究，开展馆藏文物预防性保护监测系统大数据分析服务关键技术研究与应用。开展文物数字化、信息化及智慧博物馆相关技术研究，推进全区数字化科研和展示利用平台建设，构建文物数据共享服务体系。</w:t>
      </w:r>
      <w:r>
        <w:rPr>
          <w:rFonts w:hint="eastAsia" w:ascii="楷体_GB2312" w:hAnsi="Calibri" w:eastAsia="楷体_GB2312" w:cs="楷体_GB2312"/>
          <w:kern w:val="2"/>
          <w:sz w:val="32"/>
          <w:szCs w:val="32"/>
          <w:lang w:val="en-US" w:eastAsia="zh-CN" w:bidi="ar"/>
        </w:rPr>
        <w:t>（责任单位：自治区文化和旅游厅、发展改革委、科技厅、教育厅、宁夏社会科学院）</w:t>
      </w:r>
    </w:p>
    <w:p w14:paraId="57E25C43">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Calibri" w:hAnsi="Calibri" w:eastAsia="宋体" w:cs="Times New Roman"/>
          <w:kern w:val="2"/>
          <w:sz w:val="21"/>
          <w:szCs w:val="21"/>
        </w:rPr>
      </w:pPr>
      <w:r>
        <w:rPr>
          <w:rFonts w:hint="default" w:ascii="Nimbus Roman" w:hAnsi="Nimbus Roman" w:eastAsia="Nimbus Roman" w:cs="Nimbus Roman"/>
          <w:b/>
          <w:bCs/>
          <w:kern w:val="0"/>
          <w:sz w:val="32"/>
          <w:szCs w:val="32"/>
          <w:lang w:val="en-US" w:eastAsia="zh-CN" w:bidi="ar"/>
        </w:rPr>
        <w:t>16.</w:t>
      </w:r>
      <w:r>
        <w:rPr>
          <w:rFonts w:hint="eastAsia" w:ascii="仿宋_GB2312" w:hAnsi="Nimbus Roman" w:eastAsia="仿宋_GB2312" w:cs="仿宋_GB2312"/>
          <w:b/>
          <w:bCs/>
          <w:kern w:val="0"/>
          <w:sz w:val="32"/>
          <w:szCs w:val="32"/>
          <w:lang w:val="en-US" w:eastAsia="zh-CN" w:bidi="ar"/>
        </w:rPr>
        <w:t>深化跨界融合创新发展。</w:t>
      </w:r>
      <w:r>
        <w:rPr>
          <w:rFonts w:hint="eastAsia" w:ascii="仿宋_GB2312" w:hAnsi="Calibri" w:eastAsia="仿宋_GB2312" w:cs="仿宋_GB2312"/>
          <w:b w:val="0"/>
          <w:bCs w:val="0"/>
          <w:kern w:val="0"/>
          <w:sz w:val="32"/>
          <w:szCs w:val="32"/>
          <w:lang w:val="en-US" w:eastAsia="zh-CN" w:bidi="ar"/>
        </w:rPr>
        <w:t>拓展文物与互联网、物联网跨界融合与协同发展，在创新文物传播展示方式、推进智慧博物馆建设、拓展文物利用领域、提升宁夏文化影响力等方面，形成一批具有示范性、带动性和影响力的融合型文化产品和品牌。依托数字网络和融媒体技术，通过云展览、云教育、云直播、云考古等手段，打破空间和时间限制，全方位、多维度展示全区文化遗产，提高文物“活”起来的科技水平。</w:t>
      </w:r>
      <w:r>
        <w:rPr>
          <w:rFonts w:hint="eastAsia" w:ascii="楷体_GB2312" w:hAnsi="Calibri" w:eastAsia="楷体_GB2312" w:cs="楷体_GB2312"/>
          <w:kern w:val="2"/>
          <w:sz w:val="32"/>
          <w:szCs w:val="32"/>
          <w:lang w:val="en-US" w:eastAsia="zh-CN" w:bidi="ar"/>
        </w:rPr>
        <w:t>（责任单位：自治区文化和旅游厅、发展改革委、科技厅、工信厅）</w:t>
      </w:r>
    </w:p>
    <w:p w14:paraId="765633EB">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b w:val="0"/>
          <w:bCs w:val="0"/>
          <w:kern w:val="0"/>
          <w:sz w:val="32"/>
          <w:szCs w:val="32"/>
        </w:rPr>
      </w:pPr>
      <w:r>
        <w:rPr>
          <w:rFonts w:hint="default" w:ascii="Nimbus Roman" w:hAnsi="Nimbus Roman" w:eastAsia="Nimbus Roman" w:cs="Nimbus Roman"/>
          <w:b/>
          <w:bCs/>
          <w:kern w:val="0"/>
          <w:sz w:val="32"/>
          <w:szCs w:val="32"/>
          <w:lang w:val="en-US" w:eastAsia="zh-CN" w:bidi="ar"/>
        </w:rPr>
        <w:t>17.</w:t>
      </w:r>
      <w:r>
        <w:rPr>
          <w:rFonts w:hint="eastAsia" w:ascii="仿宋_GB2312" w:hAnsi="Nimbus Roman" w:eastAsia="仿宋_GB2312" w:cs="仿宋_GB2312"/>
          <w:b/>
          <w:bCs/>
          <w:kern w:val="0"/>
          <w:sz w:val="32"/>
          <w:szCs w:val="32"/>
          <w:lang w:val="en-US" w:eastAsia="zh-CN" w:bidi="ar"/>
        </w:rPr>
        <w:t>加强科技成果创新应用。</w:t>
      </w:r>
      <w:r>
        <w:rPr>
          <w:rFonts w:hint="eastAsia" w:ascii="仿宋_GB2312" w:hAnsi="Calibri" w:eastAsia="仿宋_GB2312" w:cs="仿宋_GB2312"/>
          <w:b w:val="0"/>
          <w:bCs w:val="0"/>
          <w:kern w:val="0"/>
          <w:sz w:val="32"/>
          <w:szCs w:val="32"/>
          <w:lang w:val="en-US" w:eastAsia="zh-CN" w:bidi="ar"/>
        </w:rPr>
        <w:t>加强科技考古，促进现代测绘、遥感、预警、三维重建、DNA分析、碳14测年、锶同位素分析等技术在考古中的应用。推进5G、大数据、云计算、人工智能等新一代信息技术在文物领域应用，实施重点文物保护单位及重要馆藏文物数字化保护项目。充分利用现代智能终端、服务机器人、在线服务平台、虚拟现实等技术，丰富线上线下相融合的文物保护、展示利用形式。</w:t>
      </w:r>
      <w:r>
        <w:rPr>
          <w:rFonts w:hint="eastAsia" w:ascii="楷体_GB2312" w:hAnsi="Calibri" w:eastAsia="楷体_GB2312" w:cs="楷体_GB2312"/>
          <w:kern w:val="2"/>
          <w:sz w:val="32"/>
          <w:szCs w:val="32"/>
          <w:lang w:val="en-US" w:eastAsia="zh-CN" w:bidi="ar"/>
        </w:rPr>
        <w:t>（责任单位：自治区文化和旅游厅、发展改革委、科技厅、工信厅、宁夏社会科学院）</w:t>
      </w:r>
    </w:p>
    <w:p w14:paraId="3841FE0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黑体" w:hAnsi="宋体" w:eastAsia="黑体" w:cs="黑体"/>
          <w:b w:val="0"/>
          <w:bCs w:val="0"/>
          <w:i w:val="0"/>
          <w:caps w:val="0"/>
          <w:spacing w:val="0"/>
          <w:kern w:val="2"/>
          <w:sz w:val="32"/>
          <w:szCs w:val="32"/>
          <w:shd w:val="clear" w:fill="FFFFFF"/>
        </w:rPr>
      </w:pPr>
      <w:r>
        <w:rPr>
          <w:rFonts w:hint="eastAsia" w:ascii="黑体" w:hAnsi="宋体" w:eastAsia="黑体" w:cs="黑体"/>
          <w:b w:val="0"/>
          <w:bCs w:val="0"/>
          <w:kern w:val="2"/>
          <w:sz w:val="32"/>
          <w:szCs w:val="32"/>
          <w:lang w:val="en-US" w:eastAsia="zh-CN" w:bidi="ar"/>
        </w:rPr>
        <w:t>三、保障措施</w:t>
      </w:r>
    </w:p>
    <w:p w14:paraId="7C227848">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kern w:val="2"/>
          <w:sz w:val="32"/>
          <w:szCs w:val="32"/>
        </w:rPr>
      </w:pPr>
      <w:r>
        <w:rPr>
          <w:rFonts w:hint="eastAsia" w:ascii="楷体_GB2312" w:hAnsi="Calibri" w:eastAsia="楷体_GB2312" w:cs="楷体_GB2312"/>
          <w:b/>
          <w:bCs/>
          <w:kern w:val="2"/>
          <w:sz w:val="32"/>
          <w:szCs w:val="32"/>
          <w:lang w:val="en-US" w:eastAsia="zh-CN" w:bidi="ar"/>
        </w:rPr>
        <w:t>（一）加强组织领导。</w:t>
      </w:r>
      <w:r>
        <w:rPr>
          <w:rFonts w:hint="eastAsia" w:ascii="仿宋_GB2312" w:hAnsi="Calibri" w:eastAsia="仿宋_GB2312" w:cs="仿宋_GB2312"/>
          <w:kern w:val="2"/>
          <w:sz w:val="32"/>
          <w:szCs w:val="32"/>
          <w:lang w:val="en-US" w:eastAsia="zh-CN" w:bidi="ar"/>
        </w:rPr>
        <w:t>全面加强党对新时代文物工作的领导，完善文物工作机制。自治区党委常委会每年研究一次文物工作，建立全区文物工作联席会议制度，及时研究解决文物保护利用工作突出问题。各级党委政府要切实负起政治责任和领导责任，党委宣传部门要加强指导，把文物工作摆在突出位置，加强基层文物保护管理能力建设，打通文物保护责任落实“最后一公里”，全面贯彻党的文物工作方针政策。加强文物工作考核督查，建立文物安全责任终身追究制，强化自治区级相关考核指标导向作用，定期组织开展专项督查。</w:t>
      </w:r>
    </w:p>
    <w:p w14:paraId="33B5769A">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i w:val="0"/>
          <w:caps w:val="0"/>
          <w:spacing w:val="0"/>
          <w:kern w:val="2"/>
          <w:sz w:val="32"/>
          <w:szCs w:val="32"/>
          <w:shd w:val="clear" w:fill="FFFFFF"/>
        </w:rPr>
      </w:pPr>
      <w:r>
        <w:rPr>
          <w:rFonts w:hint="eastAsia" w:ascii="楷体_GB2312" w:hAnsi="Calibri" w:eastAsia="楷体_GB2312" w:cs="楷体_GB2312"/>
          <w:b/>
          <w:bCs/>
          <w:kern w:val="2"/>
          <w:sz w:val="32"/>
          <w:szCs w:val="32"/>
          <w:lang w:val="en-US" w:eastAsia="zh-CN" w:bidi="ar"/>
        </w:rPr>
        <w:t>（二）完善责任体系。</w:t>
      </w:r>
      <w:r>
        <w:rPr>
          <w:rFonts w:hint="eastAsia" w:ascii="仿宋_GB2312" w:hAnsi="Calibri" w:eastAsia="仿宋_GB2312" w:cs="仿宋_GB2312"/>
          <w:i w:val="0"/>
          <w:caps w:val="0"/>
          <w:spacing w:val="0"/>
          <w:kern w:val="2"/>
          <w:sz w:val="32"/>
          <w:szCs w:val="32"/>
          <w:shd w:val="clear" w:fill="FFFFFF"/>
          <w:lang w:val="en-US" w:eastAsia="zh-CN" w:bidi="ar"/>
        </w:rPr>
        <w:t>各级政府统筹区域文物事业发展，建立完善文物保护责任机制。地级市政府履行文物保护属地管理主体责任，对辖区内文物安全管理、力量配置、文物单位周边建设活动管理及文物执法等工作负责。县级政府履行属地管理直接责任，负责县域内文物安全防护、抢救维修、日常看护、活化利用等具体工作。乡镇政府履行文物保护职能，明确一名班子成员分管文物工作，充分发挥乡镇综合文化站作用。村“两委”班子要明确一名成员负责文物工作。</w:t>
      </w:r>
    </w:p>
    <w:p w14:paraId="7EBE53F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right="0" w:firstLine="632" w:firstLineChars="200"/>
        <w:jc w:val="both"/>
        <w:textAlignment w:val="baseline"/>
        <w:rPr>
          <w:rFonts w:hint="eastAsia" w:ascii="仿宋_GB2312" w:hAnsi="Calibri" w:eastAsia="仿宋_GB2312" w:cs="仿宋_GB2312"/>
          <w:b w:val="0"/>
          <w:bCs w:val="0"/>
          <w:kern w:val="2"/>
          <w:sz w:val="32"/>
          <w:szCs w:val="32"/>
        </w:rPr>
      </w:pPr>
      <w:r>
        <w:rPr>
          <w:rFonts w:hint="eastAsia" w:ascii="楷体_GB2312" w:hAnsi="Calibri" w:eastAsia="楷体_GB2312" w:cs="楷体_GB2312"/>
          <w:b/>
          <w:bCs/>
          <w:kern w:val="2"/>
          <w:sz w:val="32"/>
          <w:szCs w:val="32"/>
          <w:lang w:val="en-US" w:eastAsia="zh-CN" w:bidi="ar"/>
        </w:rPr>
        <w:t>（三）强化政策支持。</w:t>
      </w:r>
      <w:r>
        <w:rPr>
          <w:rFonts w:hint="eastAsia" w:ascii="仿宋_GB2312" w:hAnsi="Calibri" w:eastAsia="仿宋_GB2312" w:cs="仿宋_GB2312"/>
          <w:i w:val="0"/>
          <w:caps w:val="0"/>
          <w:spacing w:val="0"/>
          <w:kern w:val="2"/>
          <w:sz w:val="32"/>
          <w:szCs w:val="32"/>
          <w:shd w:val="clear" w:fill="FFFFFF"/>
          <w:lang w:val="en-US" w:eastAsia="zh-CN" w:bidi="ar"/>
        </w:rPr>
        <w:t>创新人才激励机制，完善文博单位高层次人才引育政策，支持文博人员申报自治区级人才计划。</w:t>
      </w:r>
      <w:r>
        <w:rPr>
          <w:rFonts w:hint="eastAsia" w:ascii="仿宋_GB2312" w:hAnsi="Calibri" w:eastAsia="仿宋_GB2312" w:cs="仿宋_GB2312"/>
          <w:kern w:val="2"/>
          <w:sz w:val="32"/>
          <w:szCs w:val="32"/>
          <w:lang w:val="en-US" w:eastAsia="zh-CN" w:bidi="ar"/>
        </w:rPr>
        <w:t>鼓励区内高校加强文物博物馆学科建设，探索建立文博人才定向培养机制。</w:t>
      </w:r>
      <w:r>
        <w:rPr>
          <w:rFonts w:hint="eastAsia" w:ascii="仿宋_GB2312" w:hAnsi="Calibri" w:eastAsia="仿宋_GB2312" w:cs="仿宋_GB2312"/>
          <w:i w:val="0"/>
          <w:caps w:val="0"/>
          <w:spacing w:val="0"/>
          <w:kern w:val="2"/>
          <w:sz w:val="32"/>
          <w:szCs w:val="32"/>
          <w:shd w:val="clear" w:fill="FFFFFF"/>
          <w:lang w:val="en-US" w:eastAsia="zh-CN" w:bidi="ar"/>
        </w:rPr>
        <w:t>加大对文物资源密集区的政策支持力度，在资金保障、土地流转置换等方面给予政策倾斜。积极争取中央国家文物保护资金。落实公共文化领域财政事权和支出责任划分改革要求，各级政府将文物保护经费纳入本级财政预算。市、县级政府统筹做好市县级文物保护单位及尚未核定公布为保护单位的不可移动文物和国有博物馆馆藏文物日常保养维护。</w:t>
      </w:r>
      <w:r>
        <w:rPr>
          <w:rFonts w:hint="eastAsia" w:ascii="仿宋_GB2312" w:hAnsi="Calibri" w:eastAsia="仿宋_GB2312" w:cs="仿宋_GB2312"/>
          <w:kern w:val="2"/>
          <w:sz w:val="32"/>
          <w:szCs w:val="32"/>
          <w:lang w:val="en-US" w:eastAsia="zh-CN" w:bidi="ar"/>
        </w:rPr>
        <w:t>支持社会力量通过社会公益基金、全额出资、与政府合作等方式，参与文物保护利用。</w:t>
      </w:r>
    </w:p>
    <w:p w14:paraId="35356B64">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Nimbus Roman" w:eastAsia="仿宋_GB2312" w:cs="仿宋_GB2312"/>
          <w:b w:val="0"/>
          <w:bCs w:val="0"/>
          <w:color w:val="000000"/>
          <w:spacing w:val="0"/>
          <w:kern w:val="2"/>
          <w:sz w:val="32"/>
          <w:szCs w:val="32"/>
          <w:lang w:val="en-US" w:eastAsia="zh-CN" w:bidi="ar"/>
        </w:rPr>
      </w:pPr>
    </w:p>
    <w:p w14:paraId="05D894E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Nimbus Roman" w:eastAsia="仿宋_GB2312" w:cs="仿宋_GB2312"/>
          <w:b w:val="0"/>
          <w:bCs w:val="0"/>
          <w:color w:val="000000"/>
          <w:spacing w:val="0"/>
          <w:kern w:val="2"/>
          <w:sz w:val="32"/>
          <w:szCs w:val="32"/>
          <w:lang w:val="en-US" w:eastAsia="zh-CN" w:bidi="ar"/>
        </w:rPr>
      </w:pPr>
    </w:p>
    <w:p w14:paraId="55E869BC">
      <w:pPr>
        <w:keepNext w:val="0"/>
        <w:keepLines w:val="0"/>
        <w:pageBreakBefore w:val="0"/>
        <w:widowControl/>
        <w:kinsoku/>
        <w:wordWrap/>
        <w:overflowPunct/>
        <w:topLinePunct w:val="0"/>
        <w:autoSpaceDE/>
        <w:autoSpaceDN/>
        <w:bidi w:val="0"/>
        <w:adjustRightInd/>
        <w:snapToGrid/>
        <w:spacing w:line="560" w:lineRule="exact"/>
        <w:ind w:firstLine="316" w:firstLineChars="100"/>
        <w:jc w:val="left"/>
        <w:textAlignment w:val="baseline"/>
        <w:rPr>
          <w:rFonts w:hint="eastAsia"/>
          <w:lang w:val="en-US" w:eastAsia="zh-CN"/>
        </w:rPr>
      </w:pPr>
    </w:p>
    <w:sectPr>
      <w:headerReference r:id="rId3" w:type="default"/>
      <w:footerReference r:id="rId4" w:type="default"/>
      <w:pgSz w:w="11905" w:h="16838"/>
      <w:pgMar w:top="2098" w:right="1474" w:bottom="1984" w:left="1587" w:header="850" w:footer="1417" w:gutter="0"/>
      <w:pgBorders>
        <w:top w:val="none" w:sz="0" w:space="0"/>
        <w:left w:val="none" w:sz="0" w:space="0"/>
        <w:bottom w:val="none" w:sz="0" w:space="0"/>
        <w:right w:val="none" w:sz="0" w:space="0"/>
      </w:pgBorders>
      <w:pgNumType w:fmt="numberInDash"/>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inherit">
    <w:altName w:val="DejaVu Math TeX Gyre"/>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ヒラギノ角ゴ Pro W3">
    <w:altName w:val="方正书宋_GBK"/>
    <w:panose1 w:val="00000000000000000000"/>
    <w:charset w:val="00"/>
    <w:family w:val="auto"/>
    <w:pitch w:val="default"/>
    <w:sig w:usb0="00000000" w:usb1="00000000" w:usb2="00000012" w:usb3="00000000" w:csb0="0002000D"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Nimbus Roman">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A7BCE">
    <w:pPr>
      <w:pStyle w:val="13"/>
      <w:rPr>
        <w:rStyle w:val="24"/>
        <w:rFonts w:ascii="宋体" w:hAnsi="宋体"/>
        <w:sz w:val="28"/>
        <w:szCs w:val="28"/>
      </w:rPr>
    </w:pPr>
    <w:r>
      <w:rPr>
        <w:sz w:val="28"/>
      </w:rPr>
      <mc:AlternateContent>
        <mc:Choice Requires="wps">
          <w:drawing>
            <wp:anchor distT="0" distB="0" distL="114935" distR="114935" simplePos="0" relativeHeight="251661312" behindDoc="0" locked="0" layoutInCell="1" allowOverlap="1">
              <wp:simplePos x="0" y="0"/>
              <wp:positionH relativeFrom="margin">
                <wp:align>outside</wp:align>
              </wp:positionH>
              <wp:positionV relativeFrom="paragraph">
                <wp:posOffset>0</wp:posOffset>
              </wp:positionV>
              <wp:extent cx="527685" cy="295910"/>
              <wp:effectExtent l="0" t="0" r="0" b="0"/>
              <wp:wrapNone/>
              <wp:docPr id="6" name="文本框 8"/>
              <wp:cNvGraphicFramePr/>
              <a:graphic xmlns:a="http://schemas.openxmlformats.org/drawingml/2006/main">
                <a:graphicData uri="http://schemas.microsoft.com/office/word/2010/wordprocessingShape">
                  <wps:wsp>
                    <wps:cNvSpPr txBox="1"/>
                    <wps:spPr>
                      <a:xfrm>
                        <a:off x="0" y="0"/>
                        <a:ext cx="527685" cy="295910"/>
                      </a:xfrm>
                      <a:prstGeom prst="rect">
                        <a:avLst/>
                      </a:prstGeom>
                      <a:noFill/>
                      <a:ln>
                        <a:noFill/>
                      </a:ln>
                    </wps:spPr>
                    <wps:txbx>
                      <w:txbxContent>
                        <w:p w14:paraId="1446030A">
                          <w:pPr>
                            <w:pStyle w:val="13"/>
                          </w:pP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- 2 -</w:t>
                          </w:r>
                          <w:r>
                            <w:rPr>
                              <w:rStyle w:val="24"/>
                              <w:rFonts w:ascii="宋体" w:hAnsi="宋体"/>
                              <w:sz w:val="28"/>
                              <w:szCs w:val="28"/>
                            </w:rPr>
                            <w:fldChar w:fldCharType="end"/>
                          </w:r>
                        </w:p>
                        <w:p w14:paraId="0258CD82"/>
                      </w:txbxContent>
                    </wps:txbx>
                    <wps:bodyPr lIns="0" tIns="0" rIns="0" bIns="0" upright="0"/>
                  </wps:wsp>
                </a:graphicData>
              </a:graphic>
            </wp:anchor>
          </w:drawing>
        </mc:Choice>
        <mc:Fallback>
          <w:pict>
            <v:shape id="文本框 8" o:spid="_x0000_s1026" o:spt="202" type="#_x0000_t202" style="position:absolute;left:0pt;margin-top:0pt;height:23.3pt;width:41.55pt;mso-position-horizontal:outside;mso-position-horizontal-relative:margin;z-index:251661312;mso-width-relative:page;mso-height-relative:page;" filled="f" stroked="f" coordsize="21600,21600" o:gfxdata="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ZJr/1AAAAAMBAAAPAAAAAAAAAAEAIAAAACIAAABkcnMvZG93bnJldi54bWxQSwECFAAU&#10;AAAACACHTuJAJK8cH7wBAABxAwAADgAAAAAAAAABACAAAAAjAQAAZHJzL2Uyb0RvYy54bWxQSwUG&#10;AAAAAAYABgBZAQAAUQUAAAAA&#10;">
              <v:fill on="f" focussize="0,0"/>
              <v:stroke on="f"/>
              <v:imagedata o:title=""/>
              <o:lock v:ext="edit" aspectratio="f"/>
              <v:textbox inset="0mm,0mm,0mm,0mm">
                <w:txbxContent>
                  <w:p w14:paraId="1446030A">
                    <w:pPr>
                      <w:pStyle w:val="13"/>
                    </w:pPr>
                    <w:r>
                      <w:rPr>
                        <w:rStyle w:val="24"/>
                        <w:rFonts w:ascii="宋体" w:hAnsi="宋体"/>
                        <w:sz w:val="28"/>
                        <w:szCs w:val="28"/>
                      </w:rPr>
                      <w:fldChar w:fldCharType="begin"/>
                    </w:r>
                    <w:r>
                      <w:rPr>
                        <w:rStyle w:val="24"/>
                        <w:rFonts w:ascii="宋体" w:hAnsi="宋体"/>
                        <w:sz w:val="28"/>
                        <w:szCs w:val="28"/>
                      </w:rPr>
                      <w:instrText xml:space="preserve">PAGE  </w:instrText>
                    </w:r>
                    <w:r>
                      <w:rPr>
                        <w:rStyle w:val="24"/>
                        <w:rFonts w:ascii="宋体" w:hAnsi="宋体"/>
                        <w:sz w:val="28"/>
                        <w:szCs w:val="28"/>
                      </w:rPr>
                      <w:fldChar w:fldCharType="separate"/>
                    </w:r>
                    <w:r>
                      <w:rPr>
                        <w:rStyle w:val="24"/>
                        <w:rFonts w:ascii="宋体" w:hAnsi="宋体"/>
                        <w:sz w:val="28"/>
                        <w:szCs w:val="28"/>
                      </w:rPr>
                      <w:t>- 2 -</w:t>
                    </w:r>
                    <w:r>
                      <w:rPr>
                        <w:rStyle w:val="24"/>
                        <w:rFonts w:ascii="宋体" w:hAnsi="宋体"/>
                        <w:sz w:val="28"/>
                        <w:szCs w:val="28"/>
                      </w:rPr>
                      <w:fldChar w:fldCharType="end"/>
                    </w:r>
                  </w:p>
                  <w:p w14:paraId="0258CD82"/>
                </w:txbxContent>
              </v:textbox>
            </v:shape>
          </w:pict>
        </mc:Fallback>
      </mc:AlternateContent>
    </w:r>
  </w:p>
  <w:p w14:paraId="32C9F220">
    <w:pPr>
      <w:pStyle w:val="13"/>
      <w:ind w:right="360"/>
      <w:rPr>
        <w:rStyle w:val="31"/>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C59CFB">
                          <w:pPr>
                            <w:pStyle w:val="13"/>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28C59CFB">
                    <w:pPr>
                      <w:pStyle w:val="13"/>
                    </w:pPr>
                  </w:p>
                </w:txbxContent>
              </v:textbox>
            </v:shape>
          </w:pict>
        </mc:Fallback>
      </mc:AlternateContent>
    </w:r>
    <w:r>
      <w:rPr>
        <w:rStyle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8825" cy="1284605"/>
              <wp:effectExtent l="0" t="0" r="0" b="0"/>
              <wp:wrapNone/>
              <wp:docPr id="4" name="文本框 3"/>
              <wp:cNvGraphicFramePr/>
              <a:graphic xmlns:a="http://schemas.openxmlformats.org/drawingml/2006/main">
                <a:graphicData uri="http://schemas.microsoft.com/office/word/2010/wordprocessingShape">
                  <wps:wsp>
                    <wps:cNvSpPr txBox="1"/>
                    <wps:spPr>
                      <a:xfrm>
                        <a:off x="0" y="0"/>
                        <a:ext cx="758825" cy="1284605"/>
                      </a:xfrm>
                      <a:prstGeom prst="rect">
                        <a:avLst/>
                      </a:prstGeom>
                      <a:noFill/>
                      <a:ln w="6350">
                        <a:noFill/>
                      </a:ln>
                    </wps:spPr>
                    <wps:txbx>
                      <w:txbxContent>
                        <w:p w14:paraId="6B949F8D">
                          <w:pPr>
                            <w:pStyle w:val="13"/>
                            <w:ind w:left="5250"/>
                            <w:rPr>
                              <w:rStyle w:val="31"/>
                            </w:rPr>
                          </w:pPr>
                        </w:p>
                        <w:p w14:paraId="41FA6964">
                          <w:pPr>
                            <w:rPr>
                              <w:rStyle w:val="31"/>
                            </w:rPr>
                          </w:pPr>
                        </w:p>
                      </w:txbxContent>
                    </wps:txbx>
                    <wps:bodyPr lIns="0" tIns="0" rIns="0" bIns="0" upright="1"/>
                  </wps:wsp>
                </a:graphicData>
              </a:graphic>
            </wp:anchor>
          </w:drawing>
        </mc:Choice>
        <mc:Fallback>
          <w:pict>
            <v:shape id="文本框 3" o:spid="_x0000_s1026" o:spt="202" type="#_x0000_t202" style="position:absolute;left:0pt;margin-top:0pt;height:101.15pt;width:59.75pt;mso-position-horizontal:outside;mso-position-horizontal-relative:margin;z-index:251659264;mso-width-relative:page;mso-height-relative:page;" filled="f" stroked="f" coordsize="21600,21600" o:gfxdata="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XcQc1QAAAAUBAAAPAAAAAAAAAAEAIAAAACIAAABkcnMvZG93bnJldi54&#10;bWxQSwECFAAUAAAACACHTuJAR1MStsQBAAB7AwAADgAAAAAAAAABACAAAAAkAQAAZHJzL2Uyb0Rv&#10;Yy54bWxQSwUGAAAAAAYABgBZAQAAWgUAAAAA&#10;">
              <v:fill on="f" focussize="0,0"/>
              <v:stroke on="f" weight="0.5pt"/>
              <v:imagedata o:title=""/>
              <o:lock v:ext="edit" aspectratio="f"/>
              <v:textbox inset="0mm,0mm,0mm,0mm">
                <w:txbxContent>
                  <w:p w14:paraId="6B949F8D">
                    <w:pPr>
                      <w:pStyle w:val="13"/>
                      <w:ind w:left="5250"/>
                      <w:rPr>
                        <w:rStyle w:val="31"/>
                      </w:rPr>
                    </w:pPr>
                  </w:p>
                  <w:p w14:paraId="41FA6964">
                    <w:pPr>
                      <w:rPr>
                        <w:rStyle w:val="3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3EF3">
    <w:pPr>
      <w:pStyle w:val="14"/>
      <w:pBdr>
        <w:bottom w:val="none" w:color="000000" w:sz="0" w:space="1"/>
      </w:pBdr>
      <w:rPr>
        <w:rStyle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5"/>
  <w:displayHorizontalDrawingGridEvery w:val="0"/>
  <w:displayVerticalDrawingGridEvery w:val="2"/>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WE2MDVkYzczMGQwN2ZmMzY5NDNjOTllMzEwOWUifQ=="/>
  </w:docVars>
  <w:rsids>
    <w:rsidRoot w:val="00172A27"/>
    <w:rsid w:val="001053EC"/>
    <w:rsid w:val="00163036"/>
    <w:rsid w:val="003103BB"/>
    <w:rsid w:val="003414C2"/>
    <w:rsid w:val="003A27EA"/>
    <w:rsid w:val="006376FC"/>
    <w:rsid w:val="00675B6E"/>
    <w:rsid w:val="008E0CA0"/>
    <w:rsid w:val="009654AA"/>
    <w:rsid w:val="00EC30A8"/>
    <w:rsid w:val="00F9368C"/>
    <w:rsid w:val="06BDA47A"/>
    <w:rsid w:val="1FFFD500"/>
    <w:rsid w:val="26C80EAA"/>
    <w:rsid w:val="28BF26EC"/>
    <w:rsid w:val="2E7B259E"/>
    <w:rsid w:val="2F5EB734"/>
    <w:rsid w:val="3283A9A7"/>
    <w:rsid w:val="33BF0B9B"/>
    <w:rsid w:val="33FFF478"/>
    <w:rsid w:val="34EFA4D2"/>
    <w:rsid w:val="37EC6E81"/>
    <w:rsid w:val="37FF06C1"/>
    <w:rsid w:val="39DF9014"/>
    <w:rsid w:val="3A791731"/>
    <w:rsid w:val="3A7EE2F8"/>
    <w:rsid w:val="3AEF540F"/>
    <w:rsid w:val="3AFE29B5"/>
    <w:rsid w:val="3AFF8B7F"/>
    <w:rsid w:val="3DEF8601"/>
    <w:rsid w:val="3ECC48BD"/>
    <w:rsid w:val="3F774D1E"/>
    <w:rsid w:val="3FBF51EC"/>
    <w:rsid w:val="3FE7CA78"/>
    <w:rsid w:val="3FFF0517"/>
    <w:rsid w:val="3FFF4964"/>
    <w:rsid w:val="467F8973"/>
    <w:rsid w:val="4DFD06F8"/>
    <w:rsid w:val="4E97B036"/>
    <w:rsid w:val="4FFB233F"/>
    <w:rsid w:val="4FFE9C6B"/>
    <w:rsid w:val="53F66B9F"/>
    <w:rsid w:val="55FFA4B4"/>
    <w:rsid w:val="5A3D2518"/>
    <w:rsid w:val="5BDF29A5"/>
    <w:rsid w:val="5BE73F54"/>
    <w:rsid w:val="5D7AAE8C"/>
    <w:rsid w:val="5D9EA174"/>
    <w:rsid w:val="5DB7DC44"/>
    <w:rsid w:val="5DFF2BFD"/>
    <w:rsid w:val="5EF9751B"/>
    <w:rsid w:val="5F6F9E92"/>
    <w:rsid w:val="5F9F60FD"/>
    <w:rsid w:val="5FDF32E9"/>
    <w:rsid w:val="5FED092F"/>
    <w:rsid w:val="5FEED6DA"/>
    <w:rsid w:val="6CEC055D"/>
    <w:rsid w:val="6F719C11"/>
    <w:rsid w:val="6F7DED39"/>
    <w:rsid w:val="6FB9C693"/>
    <w:rsid w:val="6FCD9FED"/>
    <w:rsid w:val="6FECA370"/>
    <w:rsid w:val="6FFE9741"/>
    <w:rsid w:val="70EC6A5C"/>
    <w:rsid w:val="72FC2166"/>
    <w:rsid w:val="74EFC704"/>
    <w:rsid w:val="74FFB8AD"/>
    <w:rsid w:val="762E6CBE"/>
    <w:rsid w:val="767111CC"/>
    <w:rsid w:val="769E1250"/>
    <w:rsid w:val="76D3E435"/>
    <w:rsid w:val="76DF6555"/>
    <w:rsid w:val="76FA7DF4"/>
    <w:rsid w:val="777B038D"/>
    <w:rsid w:val="779C9877"/>
    <w:rsid w:val="77A696DE"/>
    <w:rsid w:val="77F1FA42"/>
    <w:rsid w:val="77FDD784"/>
    <w:rsid w:val="77FE97B9"/>
    <w:rsid w:val="77FFBB5D"/>
    <w:rsid w:val="78FD282A"/>
    <w:rsid w:val="797F56FB"/>
    <w:rsid w:val="7A79220B"/>
    <w:rsid w:val="7BB23A91"/>
    <w:rsid w:val="7BBD9CF2"/>
    <w:rsid w:val="7BDDA8CF"/>
    <w:rsid w:val="7BFA432C"/>
    <w:rsid w:val="7D97C8BE"/>
    <w:rsid w:val="7DBCB0B1"/>
    <w:rsid w:val="7E6D3D95"/>
    <w:rsid w:val="7E7BC7D0"/>
    <w:rsid w:val="7EEE7AF2"/>
    <w:rsid w:val="7F5FF1F0"/>
    <w:rsid w:val="7FA782CE"/>
    <w:rsid w:val="7FB1118F"/>
    <w:rsid w:val="7FD85763"/>
    <w:rsid w:val="7FDB250A"/>
    <w:rsid w:val="7FDFAA27"/>
    <w:rsid w:val="7FE8DC26"/>
    <w:rsid w:val="7FEDDC6A"/>
    <w:rsid w:val="7FEFD47D"/>
    <w:rsid w:val="7FF5EC9E"/>
    <w:rsid w:val="7FFB46DD"/>
    <w:rsid w:val="7FFBE4F6"/>
    <w:rsid w:val="97DB74CA"/>
    <w:rsid w:val="9FEF0B9A"/>
    <w:rsid w:val="9FFE4CEE"/>
    <w:rsid w:val="A5E2A23F"/>
    <w:rsid w:val="A5F70097"/>
    <w:rsid w:val="A7DCDEB8"/>
    <w:rsid w:val="AC3D6AFD"/>
    <w:rsid w:val="ACFED9CB"/>
    <w:rsid w:val="AD769D1B"/>
    <w:rsid w:val="AFB30939"/>
    <w:rsid w:val="AFDBFB43"/>
    <w:rsid w:val="B2F761D0"/>
    <w:rsid w:val="B379FD3A"/>
    <w:rsid w:val="B57C7FDE"/>
    <w:rsid w:val="B77378E5"/>
    <w:rsid w:val="B7FB9F50"/>
    <w:rsid w:val="B7FE387E"/>
    <w:rsid w:val="B83F1C00"/>
    <w:rsid w:val="BB6BC112"/>
    <w:rsid w:val="BBC6BFB5"/>
    <w:rsid w:val="BE75E90E"/>
    <w:rsid w:val="BFBA79D8"/>
    <w:rsid w:val="BFBD5550"/>
    <w:rsid w:val="BFEE37F4"/>
    <w:rsid w:val="BFFB6D17"/>
    <w:rsid w:val="C4FFE6D8"/>
    <w:rsid w:val="CDF72013"/>
    <w:rsid w:val="D177327C"/>
    <w:rsid w:val="D4BDA6DF"/>
    <w:rsid w:val="D6EF81CB"/>
    <w:rsid w:val="D7FF9CAF"/>
    <w:rsid w:val="D9BDB612"/>
    <w:rsid w:val="D9DFC45B"/>
    <w:rsid w:val="DADE0FFE"/>
    <w:rsid w:val="DB9765CA"/>
    <w:rsid w:val="DBFB54EE"/>
    <w:rsid w:val="DBFF5C5E"/>
    <w:rsid w:val="DCF70A16"/>
    <w:rsid w:val="DDFC29B3"/>
    <w:rsid w:val="DE1700A2"/>
    <w:rsid w:val="DF3D2C53"/>
    <w:rsid w:val="DFEFD5BD"/>
    <w:rsid w:val="DFFD22E3"/>
    <w:rsid w:val="E615335E"/>
    <w:rsid w:val="E6F68FCF"/>
    <w:rsid w:val="E767A508"/>
    <w:rsid w:val="E9FF076D"/>
    <w:rsid w:val="EBBE42D6"/>
    <w:rsid w:val="EDEDAF3E"/>
    <w:rsid w:val="EE0FD17A"/>
    <w:rsid w:val="EE3FC225"/>
    <w:rsid w:val="EEFD75BD"/>
    <w:rsid w:val="EF4D4805"/>
    <w:rsid w:val="EF573518"/>
    <w:rsid w:val="EF776B23"/>
    <w:rsid w:val="EF8FFF9A"/>
    <w:rsid w:val="EFBDA862"/>
    <w:rsid w:val="EFBF5A5D"/>
    <w:rsid w:val="EFFF33FE"/>
    <w:rsid w:val="F2AE963B"/>
    <w:rsid w:val="F2EE7701"/>
    <w:rsid w:val="F2FDF9AF"/>
    <w:rsid w:val="F3FFC3E4"/>
    <w:rsid w:val="F5FD0158"/>
    <w:rsid w:val="F6BF8F00"/>
    <w:rsid w:val="F6FB059F"/>
    <w:rsid w:val="F7A204FA"/>
    <w:rsid w:val="F7BF0475"/>
    <w:rsid w:val="F7CD06EE"/>
    <w:rsid w:val="F7F73A1C"/>
    <w:rsid w:val="FA7B8885"/>
    <w:rsid w:val="FAE7387C"/>
    <w:rsid w:val="FAFAD226"/>
    <w:rsid w:val="FB7E3DB7"/>
    <w:rsid w:val="FBBB16BB"/>
    <w:rsid w:val="FBDA7354"/>
    <w:rsid w:val="FBF7AD89"/>
    <w:rsid w:val="FBFC96C2"/>
    <w:rsid w:val="FCFD4BD6"/>
    <w:rsid w:val="FCFF508F"/>
    <w:rsid w:val="FDADB5C8"/>
    <w:rsid w:val="FDB78D3E"/>
    <w:rsid w:val="FDEF75EF"/>
    <w:rsid w:val="FDF1793F"/>
    <w:rsid w:val="FDF958FD"/>
    <w:rsid w:val="FDFE51A5"/>
    <w:rsid w:val="FDFF1447"/>
    <w:rsid w:val="FE8FE31E"/>
    <w:rsid w:val="FE9DD133"/>
    <w:rsid w:val="FEBB4A19"/>
    <w:rsid w:val="FEDA0FB4"/>
    <w:rsid w:val="FEDE7E96"/>
    <w:rsid w:val="FEF7ADEA"/>
    <w:rsid w:val="FF3B4F66"/>
    <w:rsid w:val="FF83A8BC"/>
    <w:rsid w:val="FFB1B8AA"/>
    <w:rsid w:val="FFB5E318"/>
    <w:rsid w:val="FFBFBF26"/>
    <w:rsid w:val="FFCFD126"/>
    <w:rsid w:val="FFE8E2C9"/>
    <w:rsid w:val="FFEF6596"/>
    <w:rsid w:val="FFEFF4C1"/>
    <w:rsid w:val="FFF5DF8A"/>
    <w:rsid w:val="FFF659DE"/>
    <w:rsid w:val="FFFAFB30"/>
    <w:rsid w:val="FFFB06D6"/>
    <w:rsid w:val="FFFF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cs="宋体"/>
      <w:b/>
      <w:bCs/>
      <w:sz w:val="32"/>
      <w:szCs w:val="32"/>
    </w:rPr>
  </w:style>
  <w:style w:type="paragraph" w:styleId="4">
    <w:name w:val="heading 3"/>
    <w:next w:val="1"/>
    <w:autoRedefine/>
    <w:unhideWhenUsed/>
    <w:qFormat/>
    <w:uiPriority w:val="0"/>
    <w:pPr>
      <w:widowControl w:val="0"/>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Calibri" w:hAnsi="Calibri"/>
    </w:rPr>
  </w:style>
  <w:style w:type="paragraph" w:styleId="6">
    <w:name w:val="index 5"/>
    <w:basedOn w:val="1"/>
    <w:next w:val="1"/>
    <w:qFormat/>
    <w:uiPriority w:val="0"/>
    <w:pPr>
      <w:ind w:left="1680"/>
    </w:pPr>
    <w:rPr>
      <w:rFonts w:ascii="Calibri" w:hAnsi="Calibri" w:eastAsia="宋体" w:cs="Times New Roman"/>
    </w:rPr>
  </w:style>
  <w:style w:type="paragraph" w:styleId="7">
    <w:name w:val="toa heading"/>
    <w:basedOn w:val="1"/>
    <w:next w:val="1"/>
    <w:unhideWhenUsed/>
    <w:qFormat/>
    <w:uiPriority w:val="99"/>
    <w:pPr>
      <w:spacing w:before="120" w:beforeLines="0" w:beforeAutospacing="0"/>
    </w:pPr>
    <w:rPr>
      <w:rFonts w:ascii="Arial" w:hAnsi="Arial"/>
      <w:sz w:val="24"/>
    </w:rPr>
  </w:style>
  <w:style w:type="paragraph" w:styleId="8">
    <w:name w:val="Salutation"/>
    <w:basedOn w:val="1"/>
    <w:next w:val="1"/>
    <w:qFormat/>
    <w:uiPriority w:val="0"/>
    <w:rPr>
      <w:rFonts w:ascii="Times New Roman" w:hAnsi="Times New Roman" w:eastAsia="宋体" w:cs="Times New Roman"/>
    </w:rPr>
  </w:style>
  <w:style w:type="paragraph" w:styleId="9">
    <w:name w:val="Body Text"/>
    <w:basedOn w:val="1"/>
    <w:next w:val="1"/>
    <w:qFormat/>
    <w:uiPriority w:val="0"/>
    <w:pPr>
      <w:spacing w:after="120"/>
    </w:pPr>
  </w:style>
  <w:style w:type="paragraph" w:styleId="10">
    <w:name w:val="Body Text Indent"/>
    <w:basedOn w:val="1"/>
    <w:next w:val="1"/>
    <w:qFormat/>
    <w:uiPriority w:val="0"/>
    <w:pPr>
      <w:spacing w:after="120"/>
      <w:ind w:left="420" w:leftChars="200"/>
    </w:pPr>
  </w:style>
  <w:style w:type="paragraph" w:styleId="11">
    <w:name w:val="Date"/>
    <w:basedOn w:val="1"/>
    <w:next w:val="1"/>
    <w:link w:val="43"/>
    <w:qFormat/>
    <w:uiPriority w:val="0"/>
    <w:pPr>
      <w:ind w:left="100" w:leftChars="2500"/>
    </w:pPr>
  </w:style>
  <w:style w:type="paragraph" w:styleId="12">
    <w:name w:val="Balloon Text"/>
    <w:basedOn w:val="1"/>
    <w:autoRedefine/>
    <w:qFormat/>
    <w:uiPriority w:val="0"/>
    <w:rPr>
      <w:sz w:val="18"/>
      <w:szCs w:val="18"/>
    </w:rPr>
  </w:style>
  <w:style w:type="paragraph" w:styleId="13">
    <w:name w:val="footer"/>
    <w:basedOn w:val="1"/>
    <w:next w:val="1"/>
    <w:link w:val="48"/>
    <w:autoRedefine/>
    <w:qFormat/>
    <w:uiPriority w:val="0"/>
    <w:pPr>
      <w:tabs>
        <w:tab w:val="center" w:pos="4153"/>
        <w:tab w:val="right" w:pos="8306"/>
      </w:tabs>
      <w:snapToGrid w:val="0"/>
      <w:jc w:val="left"/>
    </w:pPr>
    <w:rPr>
      <w:sz w:val="18"/>
      <w:szCs w:val="18"/>
    </w:rPr>
  </w:style>
  <w:style w:type="paragraph" w:styleId="14">
    <w:name w:val="header"/>
    <w:basedOn w:val="1"/>
    <w:next w:val="1"/>
    <w:link w:val="49"/>
    <w:autoRedefine/>
    <w:qFormat/>
    <w:uiPriority w:val="0"/>
    <w:pPr>
      <w:pBdr>
        <w:bottom w:val="single" w:color="000000" w:sz="6" w:space="1"/>
      </w:pBdr>
      <w:tabs>
        <w:tab w:val="center" w:pos="4153"/>
        <w:tab w:val="right" w:pos="8306"/>
      </w:tabs>
      <w:snapToGrid w:val="0"/>
      <w:jc w:val="center"/>
    </w:pPr>
    <w:rPr>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54"/>
    <w:qFormat/>
    <w:uiPriority w:val="10"/>
    <w:pPr>
      <w:spacing w:before="240" w:after="60"/>
      <w:jc w:val="center"/>
    </w:pPr>
    <w:rPr>
      <w:rFonts w:ascii="Cambria" w:hAnsi="Cambria"/>
    </w:rPr>
  </w:style>
  <w:style w:type="paragraph" w:styleId="18">
    <w:name w:val="Body Text First Indent"/>
    <w:basedOn w:val="9"/>
    <w:next w:val="9"/>
    <w:unhideWhenUsed/>
    <w:qFormat/>
    <w:uiPriority w:val="99"/>
    <w:pPr>
      <w:ind w:firstLine="420" w:firstLineChars="100"/>
    </w:pPr>
  </w:style>
  <w:style w:type="paragraph" w:styleId="19">
    <w:name w:val="Body Text First Indent 2"/>
    <w:basedOn w:val="10"/>
    <w:next w:val="1"/>
    <w:qFormat/>
    <w:uiPriority w:val="0"/>
    <w:pPr>
      <w:spacing w:after="0" w:line="560" w:lineRule="exact"/>
      <w:ind w:left="0" w:leftChars="0" w:firstLine="420" w:firstLineChars="200"/>
    </w:pPr>
    <w:rPr>
      <w:rFonts w:ascii="黑体" w:eastAsia="黑体"/>
      <w:sz w:val="3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cs="Times New Roman"/>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paragraph" w:customStyle="1" w:styleId="2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7">
    <w:name w:val="_Style 1"/>
    <w:basedOn w:val="1"/>
    <w:qFormat/>
    <w:uiPriority w:val="0"/>
    <w:pPr>
      <w:spacing w:line="481" w:lineRule="atLeast"/>
      <w:ind w:firstLine="623"/>
      <w:textAlignment w:val="baseline"/>
    </w:pPr>
    <w:rPr>
      <w:rFonts w:eastAsia="仿宋_GB2312"/>
      <w:color w:val="000000"/>
      <w:sz w:val="31"/>
    </w:rPr>
  </w:style>
  <w:style w:type="paragraph" w:customStyle="1" w:styleId="28">
    <w:name w:val="Heading1"/>
    <w:basedOn w:val="1"/>
    <w:next w:val="1"/>
    <w:qFormat/>
    <w:uiPriority w:val="0"/>
    <w:pPr>
      <w:spacing w:before="100" w:beforeAutospacing="1" w:after="100" w:afterAutospacing="1"/>
      <w:jc w:val="left"/>
    </w:pPr>
    <w:rPr>
      <w:rFonts w:ascii="宋体" w:hAnsi="宋体" w:cs="宋体"/>
      <w:kern w:val="36"/>
      <w:sz w:val="48"/>
      <w:szCs w:val="48"/>
    </w:rPr>
  </w:style>
  <w:style w:type="paragraph" w:customStyle="1" w:styleId="29">
    <w:name w:val="Heading2"/>
    <w:basedOn w:val="1"/>
    <w:next w:val="1"/>
    <w:qFormat/>
    <w:uiPriority w:val="0"/>
    <w:pPr>
      <w:keepNext/>
      <w:keepLines/>
      <w:spacing w:before="260" w:after="260" w:line="416" w:lineRule="auto"/>
    </w:pPr>
    <w:rPr>
      <w:rFonts w:ascii="Arial" w:hAnsi="Arial" w:eastAsia="黑体"/>
    </w:rPr>
  </w:style>
  <w:style w:type="paragraph" w:customStyle="1" w:styleId="30">
    <w:name w:val="Heading3"/>
    <w:basedOn w:val="1"/>
    <w:next w:val="1"/>
    <w:qFormat/>
    <w:uiPriority w:val="0"/>
    <w:pPr>
      <w:keepNext/>
      <w:keepLines/>
      <w:spacing w:before="260" w:after="260" w:line="416" w:lineRule="auto"/>
    </w:pPr>
    <w:rPr>
      <w:rFonts w:eastAsia="方正仿宋_GBK"/>
      <w:kern w:val="32"/>
    </w:rPr>
  </w:style>
  <w:style w:type="character" w:customStyle="1" w:styleId="31">
    <w:name w:val="NormalCharacter"/>
    <w:semiHidden/>
    <w:qFormat/>
    <w:uiPriority w:val="0"/>
  </w:style>
  <w:style w:type="table" w:customStyle="1" w:styleId="32">
    <w:name w:val="TableNormal"/>
    <w:semiHidden/>
    <w:qFormat/>
    <w:uiPriority w:val="0"/>
    <w:tblPr>
      <w:tblCellMar>
        <w:top w:w="0" w:type="dxa"/>
        <w:left w:w="0" w:type="dxa"/>
        <w:bottom w:w="0" w:type="dxa"/>
        <w:right w:w="0" w:type="dxa"/>
      </w:tblCellMar>
    </w:tblPr>
  </w:style>
  <w:style w:type="paragraph" w:customStyle="1" w:styleId="33">
    <w:name w:val="BodyText1I"/>
    <w:basedOn w:val="34"/>
    <w:qFormat/>
    <w:uiPriority w:val="0"/>
    <w:pPr>
      <w:ind w:firstLine="420" w:firstLineChars="100"/>
    </w:pPr>
  </w:style>
  <w:style w:type="paragraph" w:customStyle="1" w:styleId="34">
    <w:name w:val="BodyText"/>
    <w:basedOn w:val="1"/>
    <w:next w:val="1"/>
    <w:link w:val="101"/>
    <w:qFormat/>
    <w:uiPriority w:val="0"/>
    <w:pPr>
      <w:spacing w:after="120"/>
    </w:pPr>
  </w:style>
  <w:style w:type="character" w:customStyle="1" w:styleId="35">
    <w:name w:val="UserStyle_0"/>
    <w:autoRedefine/>
    <w:qFormat/>
    <w:locked/>
    <w:uiPriority w:val="0"/>
    <w:rPr>
      <w:rFonts w:ascii="宋体" w:hAnsi="宋体" w:eastAsia="宋体" w:cs="宋体"/>
      <w:b/>
      <w:bCs/>
      <w:kern w:val="36"/>
      <w:sz w:val="48"/>
      <w:szCs w:val="48"/>
      <w:lang w:val="en-US" w:eastAsia="zh-CN" w:bidi="ar-SA"/>
    </w:rPr>
  </w:style>
  <w:style w:type="paragraph" w:customStyle="1" w:styleId="36">
    <w:name w:val="UserStyle_1"/>
    <w:basedOn w:val="1"/>
    <w:autoRedefine/>
    <w:qFormat/>
    <w:uiPriority w:val="0"/>
  </w:style>
  <w:style w:type="paragraph" w:customStyle="1" w:styleId="37">
    <w:name w:val="NormalIndent"/>
    <w:basedOn w:val="1"/>
    <w:autoRedefine/>
    <w:qFormat/>
    <w:uiPriority w:val="0"/>
    <w:pPr>
      <w:ind w:firstLine="420" w:firstLineChars="200"/>
    </w:pPr>
    <w:rPr>
      <w:rFonts w:ascii="宋体" w:hAnsi="宋体" w:eastAsia="宋体"/>
      <w:sz w:val="21"/>
      <w:szCs w:val="20"/>
    </w:rPr>
  </w:style>
  <w:style w:type="paragraph" w:customStyle="1" w:styleId="38">
    <w:name w:val="Index5"/>
    <w:basedOn w:val="1"/>
    <w:next w:val="1"/>
    <w:autoRedefine/>
    <w:qFormat/>
    <w:uiPriority w:val="0"/>
    <w:pPr>
      <w:ind w:left="1680"/>
    </w:pPr>
    <w:rPr>
      <w:rFonts w:ascii="Calibri" w:hAnsi="Calibri" w:eastAsia="宋体"/>
    </w:rPr>
  </w:style>
  <w:style w:type="paragraph" w:customStyle="1" w:styleId="39">
    <w:name w:val="NavPane"/>
    <w:basedOn w:val="1"/>
    <w:autoRedefine/>
    <w:semiHidden/>
    <w:qFormat/>
    <w:uiPriority w:val="0"/>
    <w:pPr>
      <w:shd w:val="clear" w:color="auto" w:fill="000080"/>
    </w:pPr>
  </w:style>
  <w:style w:type="paragraph" w:customStyle="1" w:styleId="40">
    <w:name w:val="BodyTextIndent"/>
    <w:basedOn w:val="1"/>
    <w:autoRedefine/>
    <w:qFormat/>
    <w:uiPriority w:val="0"/>
    <w:pPr>
      <w:spacing w:after="120"/>
      <w:ind w:left="420" w:leftChars="200"/>
    </w:pPr>
  </w:style>
  <w:style w:type="paragraph" w:customStyle="1" w:styleId="41">
    <w:name w:val="TOC3"/>
    <w:basedOn w:val="1"/>
    <w:next w:val="1"/>
    <w:qFormat/>
    <w:uiPriority w:val="0"/>
    <w:pPr>
      <w:spacing w:line="360" w:lineRule="auto"/>
      <w:ind w:left="400" w:leftChars="400"/>
    </w:pPr>
    <w:rPr>
      <w:rFonts w:ascii="Calibri" w:hAnsi="Calibri" w:eastAsia="宋体"/>
      <w:sz w:val="24"/>
      <w:szCs w:val="28"/>
    </w:rPr>
  </w:style>
  <w:style w:type="paragraph" w:customStyle="1" w:styleId="42">
    <w:name w:val="PlainText"/>
    <w:basedOn w:val="1"/>
    <w:autoRedefine/>
    <w:qFormat/>
    <w:uiPriority w:val="0"/>
    <w:rPr>
      <w:rFonts w:ascii="??" w:hAnsi="Courier New" w:eastAsia="Times New Roman"/>
      <w:szCs w:val="22"/>
    </w:rPr>
  </w:style>
  <w:style w:type="character" w:customStyle="1" w:styleId="43">
    <w:name w:val="日期 字符"/>
    <w:link w:val="11"/>
    <w:autoRedefine/>
    <w:semiHidden/>
    <w:qFormat/>
    <w:locked/>
    <w:uiPriority w:val="0"/>
    <w:rPr>
      <w:rFonts w:eastAsia="宋体"/>
      <w:kern w:val="2"/>
      <w:sz w:val="21"/>
      <w:szCs w:val="24"/>
      <w:lang w:val="en-US" w:eastAsia="zh-CN" w:bidi="ar-SA"/>
    </w:rPr>
  </w:style>
  <w:style w:type="paragraph" w:customStyle="1" w:styleId="44">
    <w:name w:val="BodyTextIndent2"/>
    <w:basedOn w:val="1"/>
    <w:link w:val="45"/>
    <w:qFormat/>
    <w:uiPriority w:val="0"/>
    <w:pPr>
      <w:spacing w:after="120" w:line="480" w:lineRule="auto"/>
      <w:ind w:left="420" w:leftChars="200"/>
    </w:pPr>
    <w:rPr>
      <w:sz w:val="24"/>
    </w:rPr>
  </w:style>
  <w:style w:type="character" w:customStyle="1" w:styleId="45">
    <w:name w:val="UserStyle_3"/>
    <w:link w:val="44"/>
    <w:qFormat/>
    <w:locked/>
    <w:uiPriority w:val="0"/>
    <w:rPr>
      <w:rFonts w:eastAsia="宋体"/>
      <w:kern w:val="2"/>
      <w:sz w:val="24"/>
      <w:szCs w:val="24"/>
      <w:lang w:val="en-US" w:eastAsia="zh-CN" w:bidi="ar-SA"/>
    </w:rPr>
  </w:style>
  <w:style w:type="paragraph" w:customStyle="1" w:styleId="46">
    <w:name w:val="Acetate"/>
    <w:basedOn w:val="1"/>
    <w:link w:val="47"/>
    <w:semiHidden/>
    <w:qFormat/>
    <w:uiPriority w:val="0"/>
    <w:rPr>
      <w:sz w:val="18"/>
      <w:szCs w:val="18"/>
    </w:rPr>
  </w:style>
  <w:style w:type="character" w:customStyle="1" w:styleId="47">
    <w:name w:val="UserStyle_4"/>
    <w:link w:val="46"/>
    <w:semiHidden/>
    <w:qFormat/>
    <w:locked/>
    <w:uiPriority w:val="0"/>
    <w:rPr>
      <w:rFonts w:eastAsia="宋体"/>
      <w:kern w:val="2"/>
      <w:sz w:val="18"/>
      <w:szCs w:val="18"/>
      <w:lang w:val="en-US" w:eastAsia="zh-CN" w:bidi="ar-SA"/>
    </w:rPr>
  </w:style>
  <w:style w:type="character" w:customStyle="1" w:styleId="48">
    <w:name w:val="页脚 字符"/>
    <w:link w:val="13"/>
    <w:qFormat/>
    <w:locked/>
    <w:uiPriority w:val="0"/>
    <w:rPr>
      <w:rFonts w:eastAsia="宋体"/>
      <w:kern w:val="2"/>
      <w:sz w:val="18"/>
      <w:szCs w:val="18"/>
      <w:lang w:val="en-US" w:eastAsia="zh-CN" w:bidi="ar-SA"/>
    </w:rPr>
  </w:style>
  <w:style w:type="character" w:customStyle="1" w:styleId="49">
    <w:name w:val="页眉 字符"/>
    <w:link w:val="14"/>
    <w:semiHidden/>
    <w:qFormat/>
    <w:locked/>
    <w:uiPriority w:val="0"/>
    <w:rPr>
      <w:rFonts w:eastAsia="宋体"/>
      <w:kern w:val="2"/>
      <w:sz w:val="18"/>
      <w:szCs w:val="18"/>
      <w:lang w:val="en-US" w:eastAsia="zh-CN" w:bidi="ar-SA"/>
    </w:rPr>
  </w:style>
  <w:style w:type="paragraph" w:customStyle="1" w:styleId="50">
    <w:name w:val="FootnoteText"/>
    <w:basedOn w:val="1"/>
    <w:link w:val="51"/>
    <w:semiHidden/>
    <w:qFormat/>
    <w:uiPriority w:val="0"/>
    <w:pPr>
      <w:snapToGrid w:val="0"/>
      <w:jc w:val="left"/>
    </w:pPr>
    <w:rPr>
      <w:rFonts w:ascii="等线" w:hAnsi="等线" w:eastAsia="等线"/>
      <w:kern w:val="0"/>
      <w:sz w:val="18"/>
      <w:szCs w:val="18"/>
    </w:rPr>
  </w:style>
  <w:style w:type="character" w:customStyle="1" w:styleId="51">
    <w:name w:val="UserStyle_7"/>
    <w:link w:val="50"/>
    <w:semiHidden/>
    <w:qFormat/>
    <w:locked/>
    <w:uiPriority w:val="0"/>
    <w:rPr>
      <w:rFonts w:ascii="等线" w:hAnsi="等线" w:eastAsia="等线"/>
      <w:sz w:val="18"/>
      <w:szCs w:val="18"/>
      <w:lang w:val="en-US" w:eastAsia="zh-CN" w:bidi="ar-SA"/>
    </w:rPr>
  </w:style>
  <w:style w:type="paragraph" w:customStyle="1" w:styleId="5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53">
    <w:name w:val="HtmlNormal"/>
    <w:basedOn w:val="1"/>
    <w:qFormat/>
    <w:uiPriority w:val="0"/>
    <w:pPr>
      <w:spacing w:before="100" w:beforeAutospacing="1" w:after="100" w:afterAutospacing="1"/>
      <w:jc w:val="left"/>
    </w:pPr>
    <w:rPr>
      <w:rFonts w:ascii="宋体" w:hAnsi="宋体"/>
      <w:kern w:val="0"/>
      <w:sz w:val="24"/>
    </w:rPr>
  </w:style>
  <w:style w:type="character" w:customStyle="1" w:styleId="54">
    <w:name w:val="标题 字符"/>
    <w:link w:val="17"/>
    <w:qFormat/>
    <w:locked/>
    <w:uiPriority w:val="0"/>
    <w:rPr>
      <w:rFonts w:ascii="Cambria" w:hAnsi="Cambria" w:eastAsia="宋体" w:cs="Times New Roman"/>
      <w:b/>
      <w:bCs/>
      <w:kern w:val="2"/>
      <w:sz w:val="32"/>
      <w:szCs w:val="32"/>
      <w:lang w:val="en-US" w:eastAsia="zh-CN" w:bidi="ar-SA"/>
    </w:rPr>
  </w:style>
  <w:style w:type="paragraph" w:customStyle="1" w:styleId="55">
    <w:name w:val="BodyText1I2"/>
    <w:basedOn w:val="40"/>
    <w:next w:val="1"/>
    <w:qFormat/>
    <w:uiPriority w:val="0"/>
    <w:pPr>
      <w:spacing w:after="0" w:line="560" w:lineRule="exact"/>
      <w:ind w:left="0" w:leftChars="0" w:firstLine="420" w:firstLineChars="200"/>
    </w:pPr>
    <w:rPr>
      <w:rFonts w:ascii="黑体" w:eastAsia="黑体"/>
      <w:sz w:val="30"/>
    </w:rPr>
  </w:style>
  <w:style w:type="table" w:customStyle="1" w:styleId="56">
    <w:name w:val="TableGrid"/>
    <w:basedOn w:val="32"/>
    <w:qFormat/>
    <w:uiPriority w:val="0"/>
    <w:tblPr>
      <w:tblCellMar>
        <w:top w:w="0" w:type="dxa"/>
        <w:left w:w="0" w:type="dxa"/>
        <w:bottom w:w="0" w:type="dxa"/>
        <w:right w:w="0" w:type="dxa"/>
      </w:tblCellMar>
    </w:tblPr>
  </w:style>
  <w:style w:type="character" w:customStyle="1" w:styleId="57">
    <w:name w:val="PageNumber"/>
    <w:qFormat/>
    <w:uiPriority w:val="0"/>
  </w:style>
  <w:style w:type="paragraph" w:customStyle="1" w:styleId="58">
    <w:name w:val="UserStyle_9"/>
    <w:basedOn w:val="1"/>
    <w:qFormat/>
    <w:uiPriority w:val="0"/>
    <w:pPr>
      <w:spacing w:after="120"/>
    </w:pPr>
  </w:style>
  <w:style w:type="paragraph" w:customStyle="1" w:styleId="59">
    <w:name w:val="UserStyle_10"/>
    <w:qFormat/>
    <w:uiPriority w:val="0"/>
    <w:pPr>
      <w:spacing w:line="400" w:lineRule="exact"/>
      <w:ind w:left="357"/>
      <w:jc w:val="both"/>
      <w:textAlignment w:val="baseline"/>
    </w:pPr>
    <w:rPr>
      <w:rFonts w:ascii="微软雅黑" w:hAnsi="微软雅黑" w:eastAsia="微软雅黑" w:cs="Times New Roman"/>
      <w:color w:val="000000"/>
      <w:sz w:val="24"/>
      <w:lang w:val="en-US" w:eastAsia="zh-CN" w:bidi="ar-SA"/>
    </w:rPr>
  </w:style>
  <w:style w:type="paragraph" w:customStyle="1" w:styleId="60">
    <w:name w:val="UserStyle_11"/>
    <w:basedOn w:val="1"/>
    <w:qFormat/>
    <w:uiPriority w:val="0"/>
  </w:style>
  <w:style w:type="paragraph" w:customStyle="1" w:styleId="61">
    <w:name w:val="UserStyle_12"/>
    <w:basedOn w:val="1"/>
    <w:qFormat/>
    <w:uiPriority w:val="0"/>
    <w:pPr>
      <w:jc w:val="left"/>
    </w:pPr>
    <w:rPr>
      <w:rFonts w:ascii="inherit" w:hAnsi="inherit"/>
      <w:kern w:val="0"/>
      <w:sz w:val="24"/>
    </w:rPr>
  </w:style>
  <w:style w:type="paragraph" w:customStyle="1" w:styleId="62">
    <w:name w:val="UserStyle_13"/>
    <w:basedOn w:val="1"/>
    <w:qFormat/>
    <w:uiPriority w:val="0"/>
    <w:rPr>
      <w:rFonts w:ascii="Tahoma" w:hAnsi="Tahoma"/>
      <w:sz w:val="24"/>
      <w:szCs w:val="20"/>
    </w:rPr>
  </w:style>
  <w:style w:type="paragraph" w:customStyle="1" w:styleId="63">
    <w:name w:val="UserStyle_14"/>
    <w:basedOn w:val="1"/>
    <w:qFormat/>
    <w:uiPriority w:val="0"/>
    <w:rPr>
      <w:rFonts w:ascii="仿宋_GB2312"/>
    </w:rPr>
  </w:style>
  <w:style w:type="paragraph" w:customStyle="1" w:styleId="64">
    <w:name w:val="UserStyle_15"/>
    <w:basedOn w:val="1"/>
    <w:qFormat/>
    <w:uiPriority w:val="0"/>
    <w:pPr>
      <w:spacing w:after="160" w:line="240" w:lineRule="exact"/>
      <w:jc w:val="left"/>
    </w:pPr>
    <w:rPr>
      <w:szCs w:val="20"/>
    </w:rPr>
  </w:style>
  <w:style w:type="paragraph" w:customStyle="1" w:styleId="65">
    <w:name w:val="UserStyle_16"/>
    <w:basedOn w:val="1"/>
    <w:qFormat/>
    <w:uiPriority w:val="0"/>
    <w:rPr>
      <w:kern w:val="0"/>
      <w:szCs w:val="21"/>
    </w:rPr>
  </w:style>
  <w:style w:type="paragraph" w:customStyle="1" w:styleId="66">
    <w:name w:val="UserStyle_17"/>
    <w:basedOn w:val="1"/>
    <w:qFormat/>
    <w:uiPriority w:val="0"/>
    <w:pPr>
      <w:spacing w:after="160" w:line="240" w:lineRule="exact"/>
      <w:jc w:val="left"/>
    </w:pPr>
    <w:rPr>
      <w:rFonts w:ascii="Verdana" w:hAnsi="Verdana"/>
      <w:kern w:val="0"/>
      <w:sz w:val="30"/>
      <w:szCs w:val="30"/>
      <w:lang w:eastAsia="en-US"/>
    </w:rPr>
  </w:style>
  <w:style w:type="paragraph" w:customStyle="1" w:styleId="67">
    <w:name w:val="UserStyle_18"/>
    <w:basedOn w:val="1"/>
    <w:qFormat/>
    <w:uiPriority w:val="0"/>
    <w:pPr>
      <w:spacing w:before="100" w:beforeAutospacing="1" w:after="100" w:afterAutospacing="1"/>
      <w:jc w:val="left"/>
    </w:pPr>
    <w:rPr>
      <w:rFonts w:ascii="宋体" w:hAnsi="宋体"/>
      <w:color w:val="000000"/>
      <w:kern w:val="0"/>
      <w:sz w:val="24"/>
    </w:rPr>
  </w:style>
  <w:style w:type="paragraph" w:customStyle="1" w:styleId="68">
    <w:name w:val="UserStyle_19"/>
    <w:basedOn w:val="39"/>
    <w:qFormat/>
    <w:uiPriority w:val="0"/>
    <w:rPr>
      <w:rFonts w:ascii="Tahoma" w:hAnsi="Tahoma"/>
      <w:sz w:val="24"/>
    </w:rPr>
  </w:style>
  <w:style w:type="paragraph" w:customStyle="1" w:styleId="69">
    <w:name w:val="UserStyle_20"/>
    <w:basedOn w:val="1"/>
    <w:qFormat/>
    <w:uiPriority w:val="0"/>
    <w:rPr>
      <w:kern w:val="0"/>
      <w:szCs w:val="21"/>
    </w:rPr>
  </w:style>
  <w:style w:type="paragraph" w:customStyle="1" w:styleId="70">
    <w:name w:val="UserStyle_21"/>
    <w:basedOn w:val="1"/>
    <w:qFormat/>
    <w:uiPriority w:val="0"/>
    <w:rPr>
      <w:kern w:val="0"/>
      <w:szCs w:val="21"/>
    </w:rPr>
  </w:style>
  <w:style w:type="paragraph" w:customStyle="1" w:styleId="71">
    <w:name w:val="UserStyle_22"/>
    <w:basedOn w:val="1"/>
    <w:qFormat/>
    <w:uiPriority w:val="0"/>
    <w:rPr>
      <w:kern w:val="0"/>
      <w:szCs w:val="21"/>
    </w:rPr>
  </w:style>
  <w:style w:type="paragraph" w:customStyle="1" w:styleId="72">
    <w:name w:val="UserStyle_23"/>
    <w:basedOn w:val="1"/>
    <w:qFormat/>
    <w:uiPriority w:val="0"/>
    <w:rPr>
      <w:rFonts w:ascii="宋体" w:hAnsi="宋体"/>
      <w:kern w:val="0"/>
      <w:szCs w:val="21"/>
    </w:rPr>
  </w:style>
  <w:style w:type="paragraph" w:customStyle="1" w:styleId="73">
    <w:name w:val="UserStyle_24"/>
    <w:basedOn w:val="1"/>
    <w:qFormat/>
    <w:uiPriority w:val="0"/>
    <w:pPr>
      <w:spacing w:before="100" w:after="100"/>
      <w:jc w:val="left"/>
    </w:pPr>
    <w:rPr>
      <w:rFonts w:ascii="宋体" w:hAnsi="宋体"/>
      <w:kern w:val="0"/>
      <w:sz w:val="24"/>
    </w:rPr>
  </w:style>
  <w:style w:type="paragraph" w:customStyle="1" w:styleId="74">
    <w:name w:val="UserStyle_25"/>
    <w:basedOn w:val="1"/>
    <w:qFormat/>
    <w:uiPriority w:val="0"/>
    <w:pPr>
      <w:ind w:firstLine="420" w:firstLineChars="200"/>
    </w:pPr>
    <w:rPr>
      <w:rFonts w:ascii="Calibri" w:hAnsi="Calibri"/>
      <w:szCs w:val="20"/>
    </w:rPr>
  </w:style>
  <w:style w:type="paragraph" w:customStyle="1" w:styleId="75">
    <w:name w:val="UserStyle_26"/>
    <w:basedOn w:val="1"/>
    <w:qFormat/>
    <w:uiPriority w:val="0"/>
    <w:pPr>
      <w:ind w:firstLine="420" w:firstLineChars="200"/>
    </w:pPr>
    <w:rPr>
      <w:rFonts w:ascii="Calibri" w:hAnsi="Calibri"/>
      <w:szCs w:val="21"/>
    </w:rPr>
  </w:style>
  <w:style w:type="paragraph" w:customStyle="1" w:styleId="76">
    <w:name w:val="UserStyle_27"/>
    <w:basedOn w:val="1"/>
    <w:qFormat/>
    <w:uiPriority w:val="0"/>
    <w:pPr>
      <w:spacing w:before="100" w:beforeAutospacing="1" w:after="100" w:afterAutospacing="1"/>
      <w:jc w:val="left"/>
    </w:pPr>
    <w:rPr>
      <w:rFonts w:ascii="宋体" w:hAnsi="宋体"/>
      <w:kern w:val="0"/>
      <w:sz w:val="24"/>
    </w:rPr>
  </w:style>
  <w:style w:type="character" w:customStyle="1" w:styleId="77">
    <w:name w:val="UserStyle_28"/>
    <w:qFormat/>
    <w:uiPriority w:val="0"/>
  </w:style>
  <w:style w:type="paragraph" w:customStyle="1" w:styleId="78">
    <w:name w:val="UserStyle_29"/>
    <w:basedOn w:val="1"/>
    <w:qFormat/>
    <w:uiPriority w:val="0"/>
    <w:pPr>
      <w:ind w:firstLine="420" w:firstLineChars="200"/>
    </w:pPr>
    <w:rPr>
      <w:rFonts w:ascii="Calibri" w:hAnsi="Calibri"/>
      <w:szCs w:val="21"/>
    </w:rPr>
  </w:style>
  <w:style w:type="character" w:customStyle="1" w:styleId="79">
    <w:name w:val="UserStyle_30"/>
    <w:qFormat/>
    <w:uiPriority w:val="0"/>
  </w:style>
  <w:style w:type="paragraph" w:customStyle="1" w:styleId="80">
    <w:name w:val="UserStyle_31"/>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81">
    <w:name w:val="UserStyle_32"/>
    <w:link w:val="82"/>
    <w:qFormat/>
    <w:locked/>
    <w:uiPriority w:val="0"/>
    <w:rPr>
      <w:rFonts w:ascii="Calibri" w:hAnsi="Calibri" w:eastAsia="宋体"/>
      <w:lang w:bidi="ar-SA"/>
    </w:rPr>
  </w:style>
  <w:style w:type="paragraph" w:customStyle="1" w:styleId="82">
    <w:name w:val="UserStyle_33"/>
    <w:basedOn w:val="1"/>
    <w:link w:val="81"/>
    <w:qFormat/>
    <w:uiPriority w:val="0"/>
    <w:pPr>
      <w:spacing w:after="160" w:line="240" w:lineRule="exact"/>
      <w:jc w:val="left"/>
    </w:pPr>
    <w:rPr>
      <w:rFonts w:ascii="Calibri" w:hAnsi="Calibri" w:eastAsia="宋体"/>
      <w:kern w:val="0"/>
      <w:sz w:val="20"/>
      <w:szCs w:val="20"/>
    </w:rPr>
  </w:style>
  <w:style w:type="character" w:customStyle="1" w:styleId="83">
    <w:name w:val="UserStyle_34"/>
    <w:qFormat/>
    <w:uiPriority w:val="0"/>
    <w:rPr>
      <w:rFonts w:ascii="等线" w:hAnsi="等线" w:eastAsia="等线"/>
    </w:rPr>
  </w:style>
  <w:style w:type="paragraph" w:customStyle="1" w:styleId="84">
    <w:name w:val="UserStyle_35"/>
    <w:qFormat/>
    <w:uiPriority w:val="0"/>
    <w:pPr>
      <w:jc w:val="both"/>
      <w:textAlignment w:val="baseline"/>
    </w:pPr>
    <w:rPr>
      <w:rFonts w:ascii="等线" w:hAnsi="等线" w:eastAsia="等线" w:cs="Times New Roman"/>
      <w:kern w:val="2"/>
      <w:sz w:val="21"/>
      <w:szCs w:val="22"/>
      <w:lang w:val="en-US" w:eastAsia="zh-CN" w:bidi="ar-SA"/>
    </w:rPr>
  </w:style>
  <w:style w:type="character" w:customStyle="1" w:styleId="85">
    <w:name w:val="UserStyle_36"/>
    <w:link w:val="86"/>
    <w:qFormat/>
    <w:locked/>
    <w:uiPriority w:val="0"/>
    <w:rPr>
      <w:rFonts w:ascii="宋体" w:hAnsi="宋体" w:eastAsia="宋体"/>
      <w:sz w:val="30"/>
      <w:szCs w:val="30"/>
      <w:lang w:val="zh-TW" w:eastAsia="zh-TW" w:bidi="ar-SA"/>
    </w:rPr>
  </w:style>
  <w:style w:type="paragraph" w:customStyle="1" w:styleId="86">
    <w:name w:val="UserStyle_37"/>
    <w:basedOn w:val="1"/>
    <w:link w:val="85"/>
    <w:qFormat/>
    <w:uiPriority w:val="0"/>
    <w:pPr>
      <w:spacing w:line="401" w:lineRule="auto"/>
      <w:ind w:firstLine="400"/>
      <w:jc w:val="left"/>
    </w:pPr>
    <w:rPr>
      <w:rFonts w:ascii="宋体" w:hAnsi="宋体" w:eastAsia="宋体"/>
      <w:kern w:val="0"/>
      <w:sz w:val="30"/>
      <w:szCs w:val="30"/>
      <w:lang w:val="zh-TW" w:eastAsia="zh-TW"/>
    </w:rPr>
  </w:style>
  <w:style w:type="character" w:customStyle="1" w:styleId="87">
    <w:name w:val="UserStyle_38"/>
    <w:link w:val="88"/>
    <w:qFormat/>
    <w:locked/>
    <w:uiPriority w:val="0"/>
    <w:rPr>
      <w:rFonts w:ascii="宋体" w:hAnsi="宋体" w:eastAsia="宋体"/>
      <w:sz w:val="44"/>
      <w:szCs w:val="44"/>
      <w:lang w:val="zh-TW" w:eastAsia="zh-TW" w:bidi="ar-SA"/>
    </w:rPr>
  </w:style>
  <w:style w:type="paragraph" w:customStyle="1" w:styleId="88">
    <w:name w:val="UserStyle_39"/>
    <w:basedOn w:val="1"/>
    <w:link w:val="87"/>
    <w:qFormat/>
    <w:uiPriority w:val="0"/>
    <w:pPr>
      <w:spacing w:after="500" w:line="262" w:lineRule="auto"/>
      <w:jc w:val="center"/>
    </w:pPr>
    <w:rPr>
      <w:rFonts w:ascii="宋体" w:hAnsi="宋体" w:eastAsia="宋体"/>
      <w:kern w:val="0"/>
      <w:sz w:val="44"/>
      <w:szCs w:val="44"/>
      <w:lang w:val="zh-TW" w:eastAsia="zh-TW"/>
    </w:rPr>
  </w:style>
  <w:style w:type="paragraph" w:customStyle="1" w:styleId="89">
    <w:name w:val="UserStyle_40"/>
    <w:basedOn w:val="1"/>
    <w:qFormat/>
    <w:uiPriority w:val="0"/>
    <w:pPr>
      <w:spacing w:after="120"/>
      <w:ind w:left="200" w:leftChars="200" w:firstLine="420" w:firstLineChars="200"/>
    </w:pPr>
    <w:rPr>
      <w:szCs w:val="24"/>
    </w:rPr>
  </w:style>
  <w:style w:type="character" w:customStyle="1" w:styleId="90">
    <w:name w:val="UserStyle_41"/>
    <w:qFormat/>
    <w:locked/>
    <w:uiPriority w:val="0"/>
    <w:rPr>
      <w:rFonts w:ascii="Arial" w:hAnsi="Arial" w:eastAsia="宋体" w:cs="Arial"/>
      <w:b/>
      <w:bCs/>
      <w:kern w:val="2"/>
      <w:sz w:val="32"/>
      <w:szCs w:val="32"/>
      <w:lang w:val="en-US" w:eastAsia="zh-CN" w:bidi="ar-SA"/>
    </w:rPr>
  </w:style>
  <w:style w:type="character" w:customStyle="1" w:styleId="91">
    <w:name w:val="UserStyle_42"/>
    <w:qFormat/>
    <w:uiPriority w:val="0"/>
    <w:rPr>
      <w:rFonts w:ascii="仿宋_GB2312" w:eastAsia="仿宋_GB2312"/>
      <w:color w:val="000000"/>
      <w:sz w:val="28"/>
      <w:szCs w:val="28"/>
    </w:rPr>
  </w:style>
  <w:style w:type="character" w:customStyle="1" w:styleId="92">
    <w:name w:val="UserStyle_43"/>
    <w:qFormat/>
    <w:uiPriority w:val="0"/>
    <w:rPr>
      <w:rFonts w:ascii="仿宋_GB2312" w:eastAsia="仿宋_GB2312"/>
      <w:b/>
      <w:color w:val="000000"/>
      <w:sz w:val="28"/>
      <w:szCs w:val="28"/>
    </w:rPr>
  </w:style>
  <w:style w:type="paragraph" w:customStyle="1" w:styleId="93">
    <w:name w:val="UserStyle_44"/>
    <w:qFormat/>
    <w:uiPriority w:val="0"/>
    <w:pPr>
      <w:textAlignment w:val="baseline"/>
    </w:pPr>
    <w:rPr>
      <w:rFonts w:ascii="Calibri" w:hAnsi="Calibri" w:eastAsia="ヒラギノ角ゴ Pro W3" w:cs="Times New Roman"/>
      <w:color w:val="000000"/>
      <w:sz w:val="24"/>
      <w:szCs w:val="22"/>
      <w:lang w:val="en-US" w:eastAsia="zh-CN" w:bidi="ar-SA"/>
    </w:rPr>
  </w:style>
  <w:style w:type="paragraph" w:customStyle="1" w:styleId="94">
    <w:name w:val=" Char Char7"/>
    <w:basedOn w:val="1"/>
    <w:qFormat/>
    <w:uiPriority w:val="0"/>
  </w:style>
  <w:style w:type="paragraph" w:styleId="95">
    <w:name w:val="List Paragraph"/>
    <w:basedOn w:val="1"/>
    <w:qFormat/>
    <w:uiPriority w:val="34"/>
    <w:pPr>
      <w:ind w:firstLine="420" w:firstLineChars="200"/>
    </w:pPr>
  </w:style>
  <w:style w:type="paragraph" w:customStyle="1" w:styleId="96">
    <w:name w:val="正文1"/>
    <w:qFormat/>
    <w:uiPriority w:val="0"/>
    <w:pPr>
      <w:widowControl w:val="0"/>
      <w:jc w:val="both"/>
    </w:pPr>
    <w:rPr>
      <w:rFonts w:ascii="Calibri" w:hAnsi="Calibri" w:eastAsia="宋体" w:cs="宋体"/>
      <w:kern w:val="2"/>
      <w:sz w:val="21"/>
      <w:szCs w:val="24"/>
      <w:lang w:val="en-US" w:eastAsia="zh-CN" w:bidi="ar-SA"/>
    </w:rPr>
  </w:style>
  <w:style w:type="paragraph" w:customStyle="1" w:styleId="97">
    <w:name w:val="列表段落"/>
    <w:basedOn w:val="96"/>
    <w:qFormat/>
    <w:uiPriority w:val="34"/>
    <w:pPr>
      <w:ind w:firstLine="200" w:firstLineChars="200"/>
    </w:pPr>
    <w:rPr>
      <w:rFonts w:ascii="Calibri" w:hAnsi="Calibri"/>
    </w:rPr>
  </w:style>
  <w:style w:type="character" w:customStyle="1" w:styleId="98">
    <w:name w:val="小标题强调 字符"/>
    <w:link w:val="99"/>
    <w:qFormat/>
    <w:uiPriority w:val="0"/>
    <w:rPr>
      <w:rFonts w:ascii="楷体" w:hAnsi="楷体" w:eastAsia="楷体" w:cs="楷体"/>
      <w:color w:val="000000"/>
      <w:kern w:val="2"/>
      <w:sz w:val="32"/>
      <w:szCs w:val="32"/>
    </w:rPr>
  </w:style>
  <w:style w:type="paragraph" w:customStyle="1" w:styleId="99">
    <w:name w:val="小标题强调"/>
    <w:basedOn w:val="100"/>
    <w:link w:val="98"/>
    <w:qFormat/>
    <w:uiPriority w:val="0"/>
    <w:rPr>
      <w:rFonts w:ascii="楷体" w:hAnsi="楷体" w:eastAsia="楷体" w:cs="楷体"/>
      <w:color w:val="000000"/>
      <w:kern w:val="2"/>
      <w:sz w:val="32"/>
      <w:szCs w:val="32"/>
    </w:rPr>
  </w:style>
  <w:style w:type="paragraph" w:customStyle="1" w:styleId="100">
    <w:name w:val="案例正文"/>
    <w:basedOn w:val="1"/>
    <w:qFormat/>
    <w:uiPriority w:val="0"/>
    <w:pPr>
      <w:ind w:firstLine="640" w:firstLineChars="200"/>
    </w:pPr>
    <w:rPr>
      <w:rFonts w:ascii="仿宋_GB2312" w:hAnsi="仿宋_GB2312" w:eastAsia="仿宋_GB2312" w:cs="仿宋_GB2312"/>
      <w:color w:val="000000"/>
      <w:kern w:val="2"/>
      <w:sz w:val="32"/>
      <w:szCs w:val="32"/>
    </w:rPr>
  </w:style>
  <w:style w:type="character" w:customStyle="1" w:styleId="101">
    <w:name w:val="BodyText Char"/>
    <w:link w:val="34"/>
    <w:qFormat/>
    <w:uiPriority w:val="0"/>
  </w:style>
  <w:style w:type="paragraph" w:customStyle="1" w:styleId="102">
    <w:name w:val="列出段落1"/>
    <w:basedOn w:val="1"/>
    <w:qFormat/>
    <w:uiPriority w:val="0"/>
    <w:pPr>
      <w:ind w:firstLine="420" w:firstLineChars="200"/>
    </w:pPr>
    <w:rPr>
      <w:rFonts w:ascii="Calibri" w:hAnsi="Calibri" w:cs="Calibri"/>
      <w:szCs w:val="21"/>
    </w:rPr>
  </w:style>
  <w:style w:type="paragraph" w:customStyle="1" w:styleId="103">
    <w:name w:val="内容"/>
    <w:basedOn w:val="1"/>
    <w:qFormat/>
    <w:uiPriority w:val="0"/>
    <w:pPr>
      <w:spacing w:line="360" w:lineRule="auto"/>
      <w:ind w:firstLine="560" w:firstLineChars="200"/>
    </w:pPr>
    <w:rPr>
      <w:rFonts w:ascii="Times New Roman" w:hAnsi="Times New Roman" w:eastAsia="宋体" w:cs="宋体"/>
      <w:sz w:val="24"/>
      <w:szCs w:val="28"/>
    </w:rPr>
  </w:style>
  <w:style w:type="paragraph" w:customStyle="1" w:styleId="104">
    <w:name w:val="Char"/>
    <w:basedOn w:val="1"/>
    <w:qFormat/>
    <w:uiPriority w:val="0"/>
  </w:style>
  <w:style w:type="paragraph" w:customStyle="1" w:styleId="105">
    <w:name w:val="列表段落1"/>
    <w:basedOn w:val="96"/>
    <w:qFormat/>
    <w:uiPriority w:val="34"/>
    <w:pPr>
      <w:ind w:firstLine="200" w:firstLineChars="200"/>
    </w:pPr>
    <w:rPr>
      <w:rFonts w:ascii="Calibri" w:hAnsi="Calibri"/>
    </w:rPr>
  </w:style>
  <w:style w:type="paragraph" w:customStyle="1" w:styleId="106">
    <w:name w:val="正文文本1"/>
    <w:basedOn w:val="1"/>
    <w:qFormat/>
    <w:uiPriority w:val="0"/>
    <w:pPr>
      <w:spacing w:after="120"/>
    </w:pPr>
    <w:rPr>
      <w:rFonts w:ascii="Times New Roman" w:hAnsi="Times New Roman" w:cs="Times New Roman"/>
      <w:kern w:val="0"/>
      <w:sz w:val="20"/>
      <w:szCs w:val="20"/>
    </w:rPr>
  </w:style>
  <w:style w:type="paragraph" w:customStyle="1" w:styleId="107">
    <w:name w:val="正文-公1"/>
    <w:basedOn w:val="108"/>
    <w:qFormat/>
    <w:uiPriority w:val="0"/>
    <w:pPr>
      <w:ind w:firstLine="200" w:firstLineChars="200"/>
    </w:pPr>
    <w:rPr>
      <w:szCs w:val="24"/>
    </w:rPr>
  </w:style>
  <w:style w:type="paragraph" w:customStyle="1" w:styleId="108">
    <w:name w:val="正文 New New"/>
    <w:next w:val="10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9">
    <w:name w:val="16"/>
    <w:basedOn w:val="22"/>
    <w:qFormat/>
    <w:uiPriority w:val="0"/>
    <w:rPr>
      <w:rFonts w:hint="default" w:ascii="Times New Roman" w:hAnsi="Times New Roman" w:eastAsia="宋体" w:cs="Times New Roman"/>
    </w:rPr>
  </w:style>
  <w:style w:type="paragraph" w:customStyle="1" w:styleId="110">
    <w:name w:val="Table Paragraph"/>
    <w:basedOn w:val="1"/>
    <w:hidden/>
    <w:qFormat/>
    <w:uiPriority w:val="0"/>
    <w:pPr>
      <w:keepNext w:val="0"/>
      <w:keepLines w:val="0"/>
      <w:widowControl w:val="0"/>
      <w:suppressLineNumbers w:val="0"/>
      <w:spacing w:beforeLines="0" w:beforeAutospacing="0" w:afterLines="0" w:afterAutospacing="0"/>
      <w:jc w:val="both"/>
    </w:pPr>
    <w:rPr>
      <w:rFonts w:hint="eastAsia" w:ascii="黑体" w:hAnsi="宋体" w:eastAsia="黑体" w:cs="Times New Roman"/>
      <w:kern w:val="2"/>
      <w:sz w:val="24"/>
      <w:szCs w:val="24"/>
      <w:lang w:val="en-US" w:eastAsia="zh-CN" w:bidi="ar"/>
    </w:rPr>
  </w:style>
  <w:style w:type="character" w:customStyle="1" w:styleId="111">
    <w:name w:val="17"/>
    <w:basedOn w:val="22"/>
    <w:qFormat/>
    <w:uiPriority w:val="0"/>
    <w:rPr>
      <w:rFonts w:hint="default" w:ascii="Times New Roman" w:hAnsi="Times New Roman" w:eastAsia="宋体" w:cs="Times New Roman"/>
      <w:b/>
    </w:rPr>
  </w:style>
  <w:style w:type="character" w:customStyle="1" w:styleId="112">
    <w:name w:val="15"/>
    <w:basedOn w:val="22"/>
    <w:qFormat/>
    <w:uiPriority w:val="0"/>
    <w:rPr>
      <w:rFonts w:hint="default" w:ascii="Times New Roman" w:hAnsi="Times New Roman" w:cs="Times New Roman"/>
      <w:color w:val="0000FF"/>
      <w:u w:val="single"/>
    </w:rPr>
  </w:style>
  <w:style w:type="character" w:customStyle="1" w:styleId="113">
    <w:name w:val="10"/>
    <w:basedOn w:val="2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5462</Words>
  <Characters>5491</Characters>
  <Lines>1</Lines>
  <Paragraphs>1</Paragraphs>
  <TotalTime>0</TotalTime>
  <ScaleCrop>false</ScaleCrop>
  <LinksUpToDate>false</LinksUpToDate>
  <CharactersWithSpaces>5492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2022-10-12T09:27:00Z</dcterms:created>
  <dc:creator>wlt</dc:creator>
  <cp:lastModifiedBy>悸.</cp:lastModifiedBy>
  <cp:lastPrinted>2024-04-29T16:24:00Z</cp:lastPrinted>
  <dcterms:modified xsi:type="dcterms:W3CDTF">2024-09-20T09:22:22Z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3E60ABB90E3F4D12923B43146B3A58C0_13</vt:lpwstr>
  </property>
</Properties>
</file>